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911C7" w:rsidRDefault="001051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ПОРІВНЯЛЬНА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ТАБЛИЦЯ</w:t>
      </w:r>
    </w:p>
    <w:p w14:paraId="00000002" w14:textId="77777777" w:rsidR="009911C7" w:rsidRDefault="0010515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 проєкту Закону України «Про внесення змін до Закону України «Про наукову і науково-технічну діяльність»</w:t>
      </w:r>
    </w:p>
    <w:p w14:paraId="00000003" w14:textId="77777777" w:rsidR="009911C7" w:rsidRDefault="009911C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"/>
        <w:tblW w:w="14476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46"/>
        <w:gridCol w:w="7230"/>
      </w:tblGrid>
      <w:tr w:rsidR="009911C7" w14:paraId="2CE4BA71" w14:textId="77777777">
        <w:trPr>
          <w:trHeight w:val="525"/>
        </w:trPr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9911C7" w:rsidRDefault="0010515C">
            <w:pPr>
              <w:spacing w:before="240" w:after="24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положення акта законодавства</w:t>
            </w:r>
          </w:p>
        </w:tc>
        <w:tc>
          <w:tcPr>
            <w:tcW w:w="72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9911C7" w:rsidRDefault="0010515C">
            <w:pPr>
              <w:spacing w:before="240" w:after="240"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Зміст відповідного положення проєкту акта</w:t>
            </w:r>
          </w:p>
        </w:tc>
      </w:tr>
      <w:tr w:rsidR="009911C7" w14:paraId="5DD15485" w14:textId="77777777">
        <w:trPr>
          <w:trHeight w:val="1103"/>
        </w:trPr>
        <w:tc>
          <w:tcPr>
            <w:tcW w:w="7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9911C7" w:rsidRDefault="0010515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ЗАКОН УКРАЇНИ</w:t>
            </w:r>
          </w:p>
          <w:p w14:paraId="00000007" w14:textId="77777777" w:rsidR="009911C7" w:rsidRDefault="0010515C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«Про наукову і науково-технічну діяльність» (Відомості Верховної Ради України (ВВР), 2016, № 3, ст. 25)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000008" w14:textId="77777777" w:rsidR="009911C7" w:rsidRDefault="00105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Проєкт Закону України «Про внесення змін до Закону України «Про наукову і науково-технічну діяльність»</w:t>
            </w:r>
          </w:p>
        </w:tc>
      </w:tr>
      <w:tr w:rsidR="009911C7" w14:paraId="42A4597E" w14:textId="77777777">
        <w:tc>
          <w:tcPr>
            <w:tcW w:w="724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9" w14:textId="77777777" w:rsidR="009911C7" w:rsidRDefault="00105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І. ЗАГАЛЬНІ ПОЛОЖЕННЯ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A" w14:textId="77777777" w:rsidR="009911C7" w:rsidRDefault="001051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Розділ І. ЗАГАЛЬНІ ПОЛОЖЕННЯ</w:t>
            </w:r>
          </w:p>
        </w:tc>
      </w:tr>
      <w:tr w:rsidR="009911C7" w14:paraId="360A152F" w14:textId="77777777">
        <w:tc>
          <w:tcPr>
            <w:tcW w:w="724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B" w14:textId="77777777" w:rsidR="009911C7" w:rsidRDefault="001051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 1. Основні терміни та визначення</w:t>
            </w:r>
          </w:p>
          <w:p w14:paraId="0000000C" w14:textId="77777777" w:rsidR="009911C7" w:rsidRDefault="009911C7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0D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0E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0F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0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1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2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3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4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5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6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7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9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A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B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C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D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E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1F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0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1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2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3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4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5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6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7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9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A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B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C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D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E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2F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0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1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2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6) державна дослідницька інфраструктура - об’єднання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наукових установ та (або) вищих навчальних закладів державної форми власності, що створюється з метою оптимального використання їхніх ресурсів (кадрів, матеріалів, устаткування, обчислювальних ресурсів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 зберігання банків даних і знань) та координації їх ефективного використання для проведення наукових, науково-технічних досліджень і науково-технічних розробок на найвищому рівні, а також забезпечення спільного проведення заходів щодо якісної підготовки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ахівців у відповідних галузях знань.</w:t>
            </w:r>
          </w:p>
          <w:p w14:paraId="00000033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4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7) дослідницька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інфраструктура - сукупність засобів, ресурсів та пов’язаних з ними послуг, які використовуються науковим співтовариством для проведення досліджень на найвищому рівні, що охоплює найважливіші об’єкти нау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кового устаткування та обладнання або набори приладів, ресурси, що базуються на знаннях (колекції, архіви, депозитарії або банки даних наукової інформації), інфраструктуру, засновану на технології комунікацій (грід, комп’ютери, програмне забезпечення і 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ежевий зв’язок), та інші структури унікального характеру. </w:t>
            </w:r>
          </w:p>
          <w:p w14:paraId="00000035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6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7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8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Дослідницькі інфраструктури можуть бути локально розташованими, віртуальними або розподіленими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(організована мережа ресурсів), державними або приватними. Дослідницькі інфраструктури можуть входи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ти до міжнародних мереж.</w:t>
            </w:r>
          </w:p>
          <w:p w14:paraId="00000039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A" w14:textId="77777777" w:rsidR="009911C7" w:rsidRDefault="0010515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11) молодий вчений - вчений віком до 35 років включно, який має вищу освіту не нижче другого (магістерського) рівня, або вчений віком до 40 років включно, який має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науковий ступінь доктора наук;</w:t>
            </w:r>
          </w:p>
          <w:p w14:paraId="0000003B" w14:textId="77777777" w:rsidR="009911C7" w:rsidRDefault="0010515C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{Пункт 11 статті 1 в редакції Закон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</w:t>
            </w:r>
            <w:hyperlink r:id="rId7" w:anchor="n7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</w:t>
              </w:r>
            </w:hyperlink>
            <w:hyperlink r:id="rId8" w:anchor="n7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</w:rPr>
                <w:t>№ 870-IX від 03.09.2020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вводиться в дію з 01.01.2021, див.</w:t>
            </w:r>
            <w:hyperlink r:id="rId9" w:anchor="n60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</w:t>
              </w:r>
            </w:hyperlink>
            <w:hyperlink r:id="rId10" w:anchor="n60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</w:rPr>
                <w:t>пункт 1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розділу II}</w:t>
            </w:r>
          </w:p>
          <w:p w14:paraId="0000003C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3D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22) науковий результат - нове наукове знання, одержане в процесі фундаментальних або прикладни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наукових досліджень та зафіксоване на носіях інформації. Науковий результат може бути у формі звіту, опублікованої наукової статті, наукової доповіді, наукового повідомлення про науково-дослідну роботу, монографічного дослідження, наукового відкриття,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оекту нормативно-правового акта, нормативного документа або науково-методичних документів, підготовка яких потребує проведення відповідних наукових досліджень або містить наукову складову, тощо;</w:t>
            </w:r>
          </w:p>
          <w:p w14:paraId="0000003E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3F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0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1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2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3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4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5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6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7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9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A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B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C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D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E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4F" w14:textId="3370890E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F46AB55" w14:textId="5527E67F" w:rsidR="00EF7819" w:rsidRDefault="00EF78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6C27179" w14:textId="1C8818E8" w:rsidR="00EF7819" w:rsidRDefault="00EF78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C305021" w14:textId="77777777" w:rsidR="00EF7819" w:rsidRDefault="00EF781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50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51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55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29) основна діяльність наукових установ – проведення фундаментальних досліджень, прикладних наукових і науково-технічних (експериментальних) розробок, надання науково-технічних послуг, проведення наукової і науково-технічної експертизи, підготовка наукових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кадрів, розвиток і збереження наукової інфраструктури;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9911C7" w:rsidRDefault="0010515C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1. Основні терміни та визначення</w:t>
            </w:r>
          </w:p>
          <w:p w14:paraId="00000057" w14:textId="77777777" w:rsidR="009911C7" w:rsidRDefault="009911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58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відкритий доступ до дослідницької інфраструктури - надання суб’єктам наукової та науково-технічної діяльності права та можливості використання об’єктів дослідницької інфраструктури для проведення наукових досліджень і науково-технічних (експериментальних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розробок. </w:t>
            </w:r>
          </w:p>
          <w:p w14:paraId="00000059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5A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відкритий доступ -  практика управління даними та їх використання, що застосовується для організації безперешкодного доступу до наукових результатів 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науково-технічної інформації за допомогою інформаційно-комунікаційних технологій </w:t>
            </w:r>
          </w:p>
          <w:p w14:paraId="0000005B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5C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відкрита наука - підхід до здійснення наукової та науково-технічної діяльності, який передбачає забезпечення доступу до об’єктів дослідницької інфраструктури, наукового результату та науково-технічної інформації з можливістю її багаторазового використання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обміну та розповсюдження за допомогою інформаційно-комунікаційних технологій з метою науково-технічного та суспільного розвитку, поглиблення співпраці між вченими тощо.</w:t>
            </w:r>
          </w:p>
          <w:p w14:paraId="0000005D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5E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)граничний вік, що визначає статус молодого вченого, збільшується на тривалість:</w:t>
            </w:r>
          </w:p>
          <w:p w14:paraId="0000005F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відпустки у зв'язку з вагітністю та пологами, відпустки по догляду за дитиною;</w:t>
            </w:r>
          </w:p>
          <w:p w14:paraId="00000060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служби в Збройних Силах України (включаючи строкову та за мобілізацією);</w:t>
            </w:r>
          </w:p>
          <w:p w14:paraId="00000061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важкої хвороби, підтвердженої відповідним медичним висновком;</w:t>
            </w:r>
          </w:p>
          <w:p w14:paraId="00000062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навчання, що завершилось успішним отриманн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ям другої вищої освіти.</w:t>
            </w:r>
          </w:p>
          <w:p w14:paraId="00000063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Граничний вік може бути збільшений не більше, ніж на 4 роки.</w:t>
            </w:r>
          </w:p>
          <w:p w14:paraId="6EBC1FE0" w14:textId="77777777" w:rsidR="00D067F6" w:rsidRDefault="00D067F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4" w14:textId="23CF9CB9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6)  вилучити</w:t>
            </w:r>
          </w:p>
          <w:p w14:paraId="00000065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6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7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9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A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B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C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D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E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6F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70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7) дослідницька інфраструктура -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сукупність основних фондів та оборотних засобів (в тому числі, об'єктів</w:t>
            </w:r>
            <w:r>
              <w:rPr>
                <w:rFonts w:ascii="Times New Roman" w:eastAsia="Times New Roman" w:hAnsi="Times New Roman" w:cs="Times New Roman"/>
                <w:b/>
                <w:color w:val="E69138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дослідницької інфраструктури)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які належать науковим установам (їх підрозділам), закладам вищої освіти (їх підрозділам), іншим юридичним особам,  їх об'єднанням, громадським науковим організаціям,  що  використовуються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суб'єктами наукової, науково-технічної та інноваційної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проведення фундаментальних досліджень, прикладних наукових досліджень і науково-технічних (експериментальних) розробок, надання  наукових послуг, проведення наукової і науково-технічної експертизи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підготовки кадрів.</w:t>
            </w:r>
          </w:p>
          <w:p w14:paraId="00000071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72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Вилучити</w:t>
            </w:r>
          </w:p>
          <w:p w14:paraId="00000073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74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75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76" w14:textId="77777777" w:rsidR="009911C7" w:rsidRDefault="009911C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77" w14:textId="77777777" w:rsidR="009911C7" w:rsidRDefault="009911C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78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11) молодий вчений -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чений віком до 35 років включно, який має вищу освіту не нижче другого (магістерського) рівня, або вчений віком до 40 років включно, який має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вищу освіту не нижче третього рівня (доктор філософії, кандидат наук або еквівалентні наукові ступені).</w:t>
            </w:r>
          </w:p>
          <w:p w14:paraId="00000079" w14:textId="77777777" w:rsidR="009911C7" w:rsidRDefault="009911C7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A" w14:textId="77777777" w:rsidR="009911C7" w:rsidRDefault="009911C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C345EE7" w14:textId="77777777" w:rsidR="0002640F" w:rsidRDefault="0002640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B" w14:textId="66830A70" w:rsidR="009911C7" w:rsidRDefault="0010515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22) наук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овий результат - нове наукове знання або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наукові дані,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одержані в процесі фундаментальних або прикладних наукових досліджень та зафіксоване на носіях інформації. Науковий результат може бути у формі звіту, опублікованої наукової статті, наукової доповіді,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наукового повідомлення про науково-дослідну роботу, монографічного дослідження, наукового відкриття, проекту нормативно-правового акта, нормативного документа,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наукового програмного забезпечення, апаратного забезпечення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або науково-методичних документів,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ідготовка яких потребує проведення відповідних наукових досліджень або містить наукову складову, тощо;</w:t>
            </w:r>
          </w:p>
          <w:p w14:paraId="0000007C" w14:textId="77777777" w:rsidR="009911C7" w:rsidRDefault="009911C7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7D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наукові дані –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дані та/або метадані, зібрані та/або одержані в процесі фундаментальних або прикладних наукових досліджень, які в тому числі використовуються для підтвердження цих досліджень та отриманих наукових результатів;   </w:t>
            </w:r>
          </w:p>
          <w:p w14:paraId="0000007E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7F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наукове програмне забезпечення - науковий результат, одержаний в процесі фундаментального або прикладного дослідження у вигляді виконуваних файлів, вихідного коду або алгоритму, зафіксованого на носіях інформації. Наукове програмне забезпечення може відн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оситись до об’єктів дослідницької інфраструктури;</w:t>
            </w:r>
          </w:p>
          <w:p w14:paraId="00000080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081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оптимізовані наукові дані (FAIR-дані) - наукові дані, які зберігаються  в електронній формі та відповідають принципам належного управління науковими даними (принципам FAIR);</w:t>
            </w:r>
          </w:p>
          <w:p w14:paraId="00000082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83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29) основна діяльність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укових установ – проведення фундаментальних досліджень, прикладних наукових і науково-технічних (експериментальних) розробок, надання науково-технічних послуг, проведення наукової і науково-технічної експертизи, підготовка наукових кадрів, розвиток і збере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ження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дослідницької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інфраструктури;</w:t>
            </w:r>
          </w:p>
          <w:p w14:paraId="00000084" w14:textId="0D778B31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E2394EB" w14:textId="77777777" w:rsidR="001A4F8D" w:rsidRDefault="001A4F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85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постдокторант - вчений віком до 40 років включно, який отримав науковий ступінь доктора філософії (або еквівалентний), після отримання якого пройшло не більше 7 років та проводить фундаментальні та (або) прикладні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наукові дослідження  за основним місцем роботи;</w:t>
            </w:r>
          </w:p>
          <w:p w14:paraId="00000086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постдокторальні наукові дослідження -  фундаментальні та (або) прикладні наукові дослідження, які проводяться постдокторантом за основним місцем роботи самостійно або під керівництвом призначеного науков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ою установою, або закладом вищої освіти наукового керівника;</w:t>
            </w:r>
          </w:p>
          <w:p w14:paraId="00000087" w14:textId="77777777" w:rsidR="009911C7" w:rsidRDefault="0010515C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) принципи належного управління науковими даними (принципи FAIR) –  принципи, що передбачають забезпечення багаторазового використання наукових даних, їх доступність, здатність до взаємодії 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різними типами даних (інтероперабельність) та здійснення оперативного пошуку необхідної інформації</w:t>
            </w:r>
          </w:p>
        </w:tc>
      </w:tr>
      <w:tr w:rsidR="009911C7" w14:paraId="3BDB80D2" w14:textId="77777777">
        <w:tc>
          <w:tcPr>
            <w:tcW w:w="724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положення відсутнє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Стаття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Категорії та державна підтримка молодих вчених</w:t>
            </w:r>
          </w:p>
          <w:p w14:paraId="0000008A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Окремими категоріями молодих вчених відповідно до етапу розвитку їх наукової кар'єри є:</w:t>
            </w:r>
          </w:p>
          <w:p w14:paraId="0000008B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молодий вчений на початку кар’єри – молодий вчений, який має стаж наукової роботи до 7 років після отримання другого (магістерського) рівня вищої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освіти;</w:t>
            </w:r>
          </w:p>
          <w:p w14:paraId="0000008C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молодий вчений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на етапі професійного становлення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– молодий вчений зі стажем наукової роботи до 10 років після отримання наукового ступеня доктора філософії (або еквівалентного), який самостійно проводить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фундаментальні та (або) прикладні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наукові дослідження, або очолює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групу вчених, в тому числі молодих вчених за відповідним науковим напрямом.</w:t>
            </w:r>
          </w:p>
          <w:p w14:paraId="0000008D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провідний молодий вчений – молодий вчений зі стажем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наукової роботи більше 10 років після отримання наукового ступеня доктора філософії (або еквівалентного), який має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значні науков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досягнення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вагомі наукові здобутки)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протягом останніх 10 років 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досвід керівництва науковими проєктами, або молодий вчений, який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отримав науковий ступінь доктора наук до 40 років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.</w:t>
            </w:r>
          </w:p>
          <w:p w14:paraId="0000008E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Державна фінансова підтримка пріоритетно надається відповідно до категорії, до якої належить молодий вчений:</w:t>
            </w:r>
          </w:p>
          <w:p w14:paraId="0000008F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молодих вчених на початку кар’єри надаються  індивідуальні гранти розміром не більше 50 прожиткових мінімумів для працездатних осіб, гранти для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проведення постдокторальних наукових досліджень,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індивідуальні гранти для аспірантів, ад’юнктів, докторантів для виконання наукових (науково-технічних) проектів незалежно від місця працевлаштування, податкова знижка при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працевлаштуванні осіб, що навчаютьс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я у аспірантурі, ад’юнктурі, докторантурі, гранти для наукових керівників для забезпечення проведення фундаментального та (або) прикладн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ого наукового дослідження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, яке здійснюється аспірантом, ад’юнктом, докторантом в науковій установі, або закладі вищої ос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віти, у якій працює науковий керівник;</w:t>
            </w:r>
          </w:p>
          <w:p w14:paraId="00000090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молодих вчених на етапі професійного становлення надаються індивідуальні гранти розміром не більше 50 прожиткових мінімумів для працездатних осіб, індивідуальні та колективні гранти для молодих вчених на етапі про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фесійного становлення для проведення наукових досліджень та груп молодих вчених;</w:t>
            </w:r>
          </w:p>
          <w:p w14:paraId="00000091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для провідних молодих вчених надаються індивідуальні гранти розміром не більше 50 прожиткових мінімумів для працездатних осіб, індивідуальні та колективні гранти для провідних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молодих вчених для проведення досліджень за новим науковим напрямом, гранти для створення та обладнання наукового підрозділу за типом лабораторії у науковій установі, або закладі вищої освіти, де працює провідний молодий вчений,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гранти для забезпечення ке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рівництва проведенням фундаментального та (або) прикладного наукового дослідження, яке здійснюється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аспірантом, ад’юнктом, докторантом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в науковій установі, або закладі вищої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освіти, у якій працює провідний молодий вчений.</w:t>
            </w:r>
          </w:p>
          <w:p w14:paraId="00000092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Визнання, у тому числі встановленн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я еквівалентності, здобутих молодими вченими в закладах вищої освіти економічно розвинених країн світу ступенів магістра, доктора філософії/доктора мистецтва, доктора наук під час зарахування на навчання та/або на посаду наукового чи науково-педагогічного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працівника здійснюється без проведення процедури визнання в Україні документів про освіту здобутих в іноземних вищих навчальних закладах ступенів вищої освіти та/або пройдених періодів навчання з метою забезпечення права громадян, які здобули вищу освіту 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бо пройшли певний період навчання у навчальних закладах інших держав, на продовження навчання та/або провадження професійної діяльності відповідно до законодавства України.</w:t>
            </w:r>
          </w:p>
          <w:p w14:paraId="00000093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911C7" w14:paraId="6EE9BC79" w14:textId="77777777">
        <w:tc>
          <w:tcPr>
            <w:tcW w:w="7246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4" w14:textId="77777777" w:rsidR="009911C7" w:rsidRDefault="0010515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Положення відсутнє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   </w:t>
            </w:r>
          </w:p>
        </w:tc>
        <w:tc>
          <w:tcPr>
            <w:tcW w:w="7230" w:type="dxa"/>
            <w:tcBorders>
              <w:lef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5" w14:textId="77777777" w:rsidR="009911C7" w:rsidRDefault="00105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Стаття 12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Дослідницька інфраструктура</w:t>
            </w:r>
          </w:p>
          <w:p w14:paraId="00000096" w14:textId="77777777" w:rsidR="009911C7" w:rsidRDefault="001051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Суб’єктами дослідницької інфраструктури є наукові установи (їх підрозділи), заклади вищої освіти (їх підрозділи)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,  об'єднання наукових установ та (або) закладів вищої освіти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інші юридичні особи незалежно від форми власності, що мають наукові підрозділи, 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ромадські наукові організації. До суб’єктів дослідницької інфраструктури належать, зокре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центри колективного користування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науковим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обладнанням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національні наукові центри, ключові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ослідницькі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лабораторії, інші структури унікального характеру. </w:t>
            </w:r>
          </w:p>
          <w:p w14:paraId="00000097" w14:textId="77777777" w:rsidR="009911C7" w:rsidRDefault="0010515C">
            <w:pPr>
              <w:spacing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До об’єктів дослідницької інфраструктури належать: </w:t>
            </w:r>
          </w:p>
          <w:p w14:paraId="00000098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1) наукове обладнання (в тому числі устаткування, набори інструментів, приладів, інвентаря, необхідних для проведення наукових досліджень);</w:t>
            </w:r>
          </w:p>
          <w:p w14:paraId="00000099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2) цифрова дослідницька інфраструктура (в тому числі, е-інфрастр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уктура та інфраструктура, заснована на технології комунікацій, зокрема грід, комп’ютери, програмне забезпечення і мережевий зв’язок);</w:t>
            </w:r>
          </w:p>
          <w:p w14:paraId="0000009A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 об'єкти, що становлять національне надбання;</w:t>
            </w:r>
          </w:p>
          <w:p w14:paraId="0000009B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4) інші наукові об’єкти, які належать на праві власності або господарськог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 відання науковим установам, закладам вищої освіти, виробничим підприємствам, їх об’єднанням та науковим підрозділам незалежно від відомчого підпорядкування та форми власності. </w:t>
            </w:r>
          </w:p>
          <w:p w14:paraId="0000009C" w14:textId="77777777" w:rsidR="009911C7" w:rsidRDefault="0010515C">
            <w:pPr>
              <w:spacing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Е-інфраструктура – окремий різновид цифрових інфраструктур, основним завдання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 яких є отримання, зберігання, управління та інтеграція наукових даних, їх аналіз, візуалізація, створення моделей на їх основі, інші види обробки наукової інформації та даних, а також послуги обчислення та комунікації, які надаються різними суб’єктами до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слідницької інфраструктури шляхом використання інформаційних мереж. </w:t>
            </w:r>
          </w:p>
          <w:p w14:paraId="0000009D" w14:textId="77777777" w:rsidR="009911C7" w:rsidRDefault="00105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1" w:firstLine="42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До е-інфраструктури належать цифрові технології (апа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ратне та програмне забезпечення тощо), ресурси (дані, послуги, цифрові бібліотеки та архіви, репозитарії тощо), комунікації (протоколи,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права доступу та мережі тощо), а також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сервіси та послуги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що необхідні для їх координації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та управління ними.</w:t>
            </w:r>
          </w:p>
          <w:p w14:paraId="0000009E" w14:textId="77777777" w:rsidR="009911C7" w:rsidRDefault="001051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Дослідницьк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мож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бути локально розташован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розподілен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державн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або приватн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єкти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що мають  об'єкти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ослідницьк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ої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інфраструктур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мож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відноситись до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Державного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еєстру дослідницької інфраструктури в установленому Кабінетом Міністрів України порядку.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Дослідницька інфраструктура національного рівня, віднесена до Державного реєстру дослідницької інфраструктури, може входити до міжнародних об'єднань  дослідницьких інфраструктур.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000009F" w14:textId="77777777" w:rsidR="009911C7" w:rsidRDefault="0010515C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Розподіленою дослідницькою інфраструктурою є організована на підставі догово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ру про спільну діяльність мережа основних фондів (в тому числі об’єктів дослідницької інфраструктури) та оборотних засобів, які належать її учасникам, координується керівним органом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 метою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оптимального використання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основних фондів (в тому числі об’єктів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ослідницької інфраструктури), оборотних засобів та фінансових активів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для проведення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фундаментальних досліджень, прикладних наукових досліджень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 науково-технічних (експериментальних) розробок,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надання наукових послуг, проведення наукової і науково-технічн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ої експертизи, підготовки кадрів.</w:t>
            </w:r>
          </w:p>
          <w:p w14:paraId="000000A0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Учасники розподіленої дослідницької інфраструктури - юридична особа або група юридичних осіб,  що  діють відповідно  до  договору  про  спільну  діяльність  без  створення юридичної особи  та  без  об'єднання  вкладів  з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метою  створення організаційних засад функціонування розподіленої дослідницької інфраструктури. Усі учасники розподіленої дослідницької інфраструктури мають право відкритого доступу до неї на безоплатній основі.</w:t>
            </w:r>
          </w:p>
          <w:p w14:paraId="000000A1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Договір про спільну  діяльність  без  створе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ння  юридичної особи  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без об'єднання  вкладів учасників (далі - договір) - договір між  юридичними  особами  -  учасника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 розподіленої дослідницької інфраструктури,  що  містить  відомості про склад учасників,  їх права та обов'язки,  пріоритетні напря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ми діяльності,  органи  управління  і керівний орган розподіленої дослідницької інфраструктури,  їх повноваження та порядок  прийняття ними рішень,  порядок фінансування діяльності органів управління і керівного органу, порядок прийняття нових учасників ро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зподіленої дослідницької інфраструктури  та  виключення  з  числа  учасників, порядок ліквідації розподіленої дослідницької інфраструктури (припинення дії договору).</w:t>
            </w:r>
          </w:p>
          <w:p w14:paraId="000000A2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Локально розташована дослідницька інфраструктура (має локалізоване або близьке географічне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розташування) може приєднуватися до розподіленої дослідницької інфраструктури, та набувати статусу складової розподіленої дослідницької інфраструктури. Суб'єкти наукової, науково-технічної та інноваційної діяльності мають право відкритого доступу до локал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ьно розташованої дослідницької інфраструктури відповідно до умов, визначених в регламенті доступу, затверджених засновником такої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інфраструктури.</w:t>
            </w:r>
          </w:p>
          <w:p w14:paraId="000000A3" w14:textId="77777777" w:rsidR="009911C7" w:rsidRDefault="0010515C">
            <w:pPr>
              <w:numPr>
                <w:ilvl w:val="0"/>
                <w:numId w:val="11"/>
              </w:numPr>
              <w:spacing w:line="240" w:lineRule="auto"/>
              <w:ind w:left="0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Власниками дослідницької інфраструктури можуть бути наукова установа, заклад вищої освіти, інші юридичні особи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незалежно від форми власності, що мають наукові підрозділи, громадські наукові організації.  </w:t>
            </w:r>
          </w:p>
          <w:p w14:paraId="000000A4" w14:textId="77777777" w:rsidR="009911C7" w:rsidRDefault="0010515C">
            <w:pPr>
              <w:numPr>
                <w:ilvl w:val="0"/>
                <w:numId w:val="11"/>
              </w:numPr>
              <w:spacing w:line="240" w:lineRule="auto"/>
              <w:ind w:left="0" w:firstLine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Юридичні особи, в складі яких є об’єкти дослідницької інфраструктури, мають забезпечити:</w:t>
            </w:r>
          </w:p>
          <w:p w14:paraId="000000A5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наявність необхідних умов для доступу до наукового обладнання вітчизняно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го та (або) імпортного виробництва та належне надання послуг з користування таким обладнанням;</w:t>
            </w:r>
          </w:p>
          <w:p w14:paraId="000000A6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надання послуг з проведення наукових досліджень з використанням наукового обладнання;</w:t>
            </w:r>
          </w:p>
          <w:p w14:paraId="000000A7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якісну та надійну роботу наукового обладнання;</w:t>
            </w:r>
          </w:p>
          <w:p w14:paraId="000000A8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фахове, своєчасне та у повно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му обсязі технічне обслуговування наукового обладнання, проведення регламентних та інших робіт на науковому обладнанні;</w:t>
            </w:r>
          </w:p>
          <w:p w14:paraId="000000A9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своєчасну метрологічну повірку, атестацію та сертифікацію наукового обладнання;</w:t>
            </w:r>
          </w:p>
          <w:p w14:paraId="000000AA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інформаційну, технічну, консультаційну, методичну, організаційну підтримку та супроводження робіт на науковому обладнанні;</w:t>
            </w:r>
          </w:p>
          <w:p w14:paraId="000000AB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наявність кваліфікованого та компетентного персоналу, здатного підтримувати наукове обладнання у робочому стані, супроводжувати належ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не функціонування наукового обладнання, забезпечувати збереження та розвиток наукового обладнання, надавати відповідні консультації;</w:t>
            </w:r>
          </w:p>
          <w:p w14:paraId="000000AC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наявність та дотримання регламенту доступу до наукового обладнання;</w:t>
            </w:r>
          </w:p>
          <w:p w14:paraId="000000AD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наявність відкритого доступу до наукових даних та їх повторного використання, що отримані за рахунок державних коштів, крім обмежень у випадках захисту персональних даних, конфіденційності інформації, прав інтелектуальної власності, національної безпеки;</w:t>
            </w:r>
          </w:p>
          <w:p w14:paraId="000000AE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отримання принципів належного управління науковими даними;</w:t>
            </w:r>
          </w:p>
          <w:p w14:paraId="000000AF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наявність інструкції користувача;</w:t>
            </w:r>
          </w:p>
          <w:p w14:paraId="000000B0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дотримання правил етичної поведінки та академічної доброчесності, гендерної рівності та рівних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>можливостей користувачами дослідницької інфраструктури;</w:t>
            </w:r>
          </w:p>
          <w:p w14:paraId="000000B1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можливість 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бміну науковими результатами між суб'єктами наукової, науково-технічної та інноваційної діяльності;</w:t>
            </w:r>
          </w:p>
          <w:p w14:paraId="000000B2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дотримання вимог національного і міжнародного законодавства, зокрема в сфері захисту персональних даних, конфіденційності інформації, прав інтелектуальної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ласності, національної безпеки.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ab/>
            </w:r>
          </w:p>
          <w:p w14:paraId="000000B3" w14:textId="77777777" w:rsidR="009911C7" w:rsidRDefault="0010515C">
            <w:pPr>
              <w:spacing w:line="240" w:lineRule="auto"/>
              <w:ind w:left="41" w:firstLine="525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2CC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ab/>
              <w:t>можливість використання різних джерел фінансування, що покривають витрати на їх утримання.</w:t>
            </w:r>
          </w:p>
        </w:tc>
      </w:tr>
      <w:tr w:rsidR="009911C7" w14:paraId="17F0530A" w14:textId="77777777">
        <w:trPr>
          <w:trHeight w:val="615"/>
        </w:trPr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B4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13. Центри колективного користування науковим обладнанням</w:t>
            </w:r>
          </w:p>
          <w:p w14:paraId="000000B5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B6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Центри колективного користування науковим обладнанням утворюю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ться у формі структурного підрозділу наукової установи, вищого навчального закладу або самостійної юридичної особи незалежно від відомчого підпорядкування та форми власності з метою надання доступу до унікального обладнання для проведення наукових дослідже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нь і науково-технічних (експериментальних) розробок вітчизняними та іноземними вченими.</w:t>
            </w:r>
          </w:p>
          <w:p w14:paraId="000000B7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B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B9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BA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BB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BD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BF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Центрам колективного користування науковим обладнанням, що є юридичними особами державної форми власності, може передаватися у тимчасове безоплатне користування наукове обладнання для надання послуг без права його відчуження.</w:t>
            </w:r>
          </w:p>
          <w:p w14:paraId="000000C0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C1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 про Центр колективн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 користування науковим обладнанням, регламент доступу до наукового обладнання та користування ним затверджуються засновником центру.</w:t>
            </w:r>
          </w:p>
          <w:p w14:paraId="000000C2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C3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C5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C6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C7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2. Завданнями Центру колективного користування науковим обладнанням є:</w:t>
            </w:r>
          </w:p>
          <w:p w14:paraId="000000C8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C9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сприяння реалізації державних цільових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аукових і науково-технічних програм та наукових (науково-технічних) проектів за визначеними пріоритетними тематичними напрямами наукових досліджень і науково-технічних розробок;</w:t>
            </w:r>
          </w:p>
          <w:p w14:paraId="000000CA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CB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2) залучення студентів, магістрів, аспірантів та молодих вчених до науково-до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слідних та дослідно-конструкторських робіт;</w:t>
            </w:r>
          </w:p>
          <w:p w14:paraId="000000CC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CD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3) проведення спільних наукових досліджень вітчизняними та іноземними науковими установами та вищими навчальними закладами;</w:t>
            </w:r>
          </w:p>
          <w:p w14:paraId="000000CE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CF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4) сприяння міжнародному науково-технічному співробітництву.</w:t>
            </w:r>
          </w:p>
          <w:p w14:paraId="000000D0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1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2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3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4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5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6" w14:textId="0121DBC0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AF7F8A5" w14:textId="77777777" w:rsidR="0010515C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7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Центри колективного користування науковим обладнанням можуть надавати доступ і право безоплатного користування приладами та обладнанням працівникам наукової установи, університету, академії, інституту, у структурі якого утворено центр, та іншим особам,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які проводять науково-дослідні та дослідно-конструкторські роботи, відповідно до умов, визначених у регламенті доступу до наукового обладнання та користування ним.</w:t>
            </w:r>
          </w:p>
          <w:p w14:paraId="000000D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9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Центри колективного користування науковим обладнанням можуть надавати платні послуги в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становленому законодавством порядку.</w:t>
            </w:r>
          </w:p>
          <w:p w14:paraId="000000DA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B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C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D" w14:textId="3D4BD1EF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E0464F" w14:textId="77777777" w:rsidR="00C74E36" w:rsidRDefault="00C74E3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DE" w14:textId="77777777" w:rsidR="009911C7" w:rsidRDefault="0010515C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 Примірне положення про Центр колективного користування науковим обладнанням розробляється у порядку, визначеному цим Законом, і затверджується Кабінетом Міністрів України.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DF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Стаття 13. Центри колективного користува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науковим обладнанням</w:t>
            </w:r>
          </w:p>
          <w:p w14:paraId="000000E0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E1" w14:textId="77777777" w:rsidR="009911C7" w:rsidRDefault="0010515C">
            <w:pPr>
              <w:widowControl w:val="0"/>
              <w:numPr>
                <w:ilvl w:val="3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Центр колективного користування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науковим обладнанням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утворюється у формі структурного підрозділу наукової установи, закладу вищої освіти або самостійної юридичної особи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державної форми власності, незалежно від відомчого підпорядкування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з метою  надання доступу до наукового обладнання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(в тому числі, устаткування, інструментів, приладів,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інвентаря) та пов'язаних з ними послуг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для проведення наукових досліджень і науково-тех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нічних (експериментальних) розробок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суб’єктами наукової, науково-технічної діяльності та інноваційної діяльності на безоплатних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lastRenderedPageBreak/>
              <w:t>або платних договірних засадах відповідно до умов, визначених у регламенті доступу до наукового обладнання, затверджених засновн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иком Центру.</w:t>
            </w:r>
          </w:p>
          <w:p w14:paraId="000000E3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E4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Центрам колективного користування науковим обладнанням,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що є юридичними особами державної форми власності, може передаватися у тимчасове безоплатне користування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наукове обладнання для надання послуг без права його відчуження.</w:t>
            </w:r>
          </w:p>
          <w:p w14:paraId="000000E5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E6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Положення про Центр колективного користування науковим обладнанням, Регламент доступу до наукового обладнання, найменування (назва) Центру (за необхідності), знак для товарів і послуг Центру (за необхідності), затверджуються (погоджуються) уповноваженим ор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ганом управління засновника, визначеним у його установчих документах.</w:t>
            </w:r>
          </w:p>
          <w:p w14:paraId="000000E7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E9" w14:textId="77777777" w:rsidR="009911C7" w:rsidRDefault="00105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Завданнями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Центру колективного користування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науковим обладнанням,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є: </w:t>
            </w:r>
          </w:p>
          <w:p w14:paraId="000000EA" w14:textId="77777777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EB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1) сприяння реалізації державних цільових наукових і науково-технічних програм та наукових (науково-технічних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) проектів;</w:t>
            </w:r>
          </w:p>
          <w:p w14:paraId="000000EC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ED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7D45FDAD" w14:textId="77777777" w:rsidR="0010515C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EE" w14:textId="72E60475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2) залучення студентів, магістрів, аспірантів та молодих вчених до науково-дослідних та дослідно-конструкторських робіт;</w:t>
            </w:r>
          </w:p>
          <w:p w14:paraId="000000EF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F0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3) проведення спільних наукових досліджень вітчизняними та іноземними науковими установами 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закладами вищої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;</w:t>
            </w:r>
          </w:p>
          <w:p w14:paraId="000000F1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</w:p>
          <w:p w14:paraId="000000F2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4) сприяння міжнародному науково-технічному співробітництву;</w:t>
            </w:r>
          </w:p>
          <w:p w14:paraId="000000F3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F4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5) надання послуг з користування науковим обладнанням;</w:t>
            </w:r>
          </w:p>
          <w:p w14:paraId="000000F5" w14:textId="77777777" w:rsidR="009911C7" w:rsidRDefault="001051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) надання послуг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із проведення наукових досліджень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 використанням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науково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 xml:space="preserve"> обладнанн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highlight w:val="white"/>
              </w:rPr>
              <w:t>, яке знаходиться в його розпорядженні, замовнику такої послуги.</w:t>
            </w:r>
          </w:p>
          <w:p w14:paraId="000000F6" w14:textId="77777777" w:rsidR="009911C7" w:rsidRDefault="009911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F7" w14:textId="77777777" w:rsidR="009911C7" w:rsidRDefault="00105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Центри колективного користування наукови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 обладнанням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можуть надавати доступ і право безоплатного користування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науков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обладнанням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(в тому числі, устаткування, інструментів, приладів, ін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вентаря)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суб’єктам наукової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науково-технічної діяльності та інноваційної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діяльності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науковим установам Національної та галузевих академій наук,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у порядку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визначеного Положенням, затвердженого Кабінетом Міністрів.</w:t>
            </w:r>
          </w:p>
          <w:p w14:paraId="000000F9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lastRenderedPageBreak/>
              <w:t>4. Центри колективного користування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науковим обладнанням можуть надавати платні послуги в установленому законодавством порядку.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Центри колективного користування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науковим обладнанням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зобов'язані надавати послуги на підставі затвердженого кошторису та використовувати отримані кошти на утриманн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я та розвиток Центру.   </w:t>
            </w:r>
          </w:p>
          <w:p w14:paraId="000000FA" w14:textId="77777777" w:rsidR="009911C7" w:rsidRDefault="009911C7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0FB" w14:textId="660A85A4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E36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74E36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Положення</w:t>
            </w:r>
            <w:r w:rsidRPr="00C74E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Центр колективного користування науковим обладнанням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розробляється у порядку, визначеному цим Законом, 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затверджується Кабінетом Міністрів України. </w:t>
            </w:r>
          </w:p>
          <w:p w14:paraId="3CB5D6A8" w14:textId="77777777" w:rsidR="0010515C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0FD" w14:textId="77777777" w:rsidR="009911C7" w:rsidRDefault="0010515C">
            <w:pPr>
              <w:numPr>
                <w:ilvl w:val="0"/>
                <w:numId w:val="11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heading=h.gjdgxs" w:colFirst="0" w:colLast="0"/>
            <w:bookmarkStart w:id="1" w:name="_heading=h.vs59d03rp2sh" w:colFirst="0" w:colLast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ентри колективного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користування науковим обладнанням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можуть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входити до інноваційних кластерів та (або) брати участь у мережах розподіленої дослідницької інфраструктури на основі договору про спільну діяльність юридичних осіб, до складу яких вони входять, в рамках напрямів наукових досліджень чи спільного надання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ослуг з метою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підвищення оптимального використання їхніх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основних фондів та оборотних засобів та зменшення витрат на їх утримання та обслуговування.</w:t>
            </w:r>
          </w:p>
        </w:tc>
      </w:tr>
      <w:tr w:rsidR="009911C7" w14:paraId="79AE5B74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FE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Стаття 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Національний науковий центр</w:t>
            </w:r>
          </w:p>
          <w:p w14:paraId="000000FF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Науковій установі, університету, об’єднанню наукових установ 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(або) університетів, які мають унікальне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дослідно-експериментальне устаткування, науковців та фахівців найвищої кваліфікації, результати наукових досліджень яких мають загальнодержавне значення та міжнародне визнання, для реалізації найбільш важливих та 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туальних для держави напрямів розвитку науки і техніки та (або) інноваційної діяльності може бути надано статус національного наукового центру.</w:t>
            </w:r>
          </w:p>
          <w:p w14:paraId="561D388A" w14:textId="77777777" w:rsidR="0010515C" w:rsidRDefault="0010515C" w:rsidP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01" w14:textId="546C343F" w:rsidR="009911C7" w:rsidRDefault="0010515C" w:rsidP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Статус національного наукового центру надається відповідно до законодавства України.</w:t>
            </w:r>
          </w:p>
          <w:p w14:paraId="00000102" w14:textId="77777777" w:rsidR="009911C7" w:rsidRDefault="009911C7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03" w14:textId="77777777" w:rsidR="009911C7" w:rsidRDefault="009911C7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04" w14:textId="77777777" w:rsidR="009911C7" w:rsidRDefault="009911C7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05" w14:textId="77777777" w:rsidR="009911C7" w:rsidRDefault="009911C7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B0BBE96" w14:textId="77777777" w:rsidR="0010515C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07" w14:textId="3A0EF64D" w:rsidR="009911C7" w:rsidRDefault="0010515C" w:rsidP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Критерії надання та позбавлення статусу національного наукового центру, умови продовження строку дії такого статусу та особливості діяльності національних наукових центрів визначаються </w:t>
            </w:r>
            <w:hyperlink r:id="rId11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Положенням про національний науковий центр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що затверджується Кабінетом Міністрів України.</w:t>
            </w:r>
          </w:p>
          <w:p w14:paraId="0000010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09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Стаття 14.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Національний науковий центр</w:t>
            </w:r>
          </w:p>
          <w:p w14:paraId="0000010A" w14:textId="7CF63756" w:rsidR="009911C7" w:rsidRDefault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Науковій установі,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закладу вищої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об’єднанню наукових установ та (або) закладів вищої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які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мають унікальне дослідно-експериментальне устаткування та обладнання, науковців та фахівців найвищої кваліфікації, результати наукових досліджень яких мають загальнодержавне значення та міжнародне визнання, для реалізації найбільш важливих та актуаль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них для держави напрямів розвитку науки і техніки та (або) інноваційної діяльності може бути надано статус національного наукового центру.</w:t>
            </w:r>
          </w:p>
          <w:p w14:paraId="0000010B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Статус Національного наукового центру  надається з дня його державної реєстрації на визначений період (від п’яти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семи років), який за результатами звіту про діяльність національного наукового центру може бути продовжений, центральним органом виконавчої влади, що забезпечує формування та реалізує державну політику у сфері наукової і науково-технічної діяльності, у 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орядку визначеному Кабінетом Міністрів України. </w:t>
            </w:r>
          </w:p>
          <w:p w14:paraId="0000010C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0D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Критерії надання та позбавлення статусу національного наукового центру, умови продовження строку дії такого статусу та особливості діяльності національних наукових центрів визначаються </w:t>
            </w:r>
            <w:hyperlink r:id="rId12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Положенням про національний науковий центр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що затверджується Кабінетом Міністрів України.</w:t>
            </w:r>
          </w:p>
          <w:p w14:paraId="0000010E" w14:textId="77777777" w:rsidR="009911C7" w:rsidRDefault="009911C7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0F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Завданнями Національних наукових центрів є:</w:t>
            </w:r>
          </w:p>
          <w:p w14:paraId="00000110" w14:textId="77777777" w:rsidR="009911C7" w:rsidRDefault="0010515C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проведення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пріоритетних тематичних напрямів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наукових досліджень та науково-технічних (експериментальних) розробок, які мають загальнодержавне значення та міжнародне визнання;</w:t>
            </w:r>
          </w:p>
          <w:p w14:paraId="00000111" w14:textId="77777777" w:rsidR="009911C7" w:rsidRDefault="0010515C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забезпечення реалізації стратегічних завдань у сферах наукової, науково-технічної та інноваційної діяльності шляхом реалізаці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ї найбільш важливих та актуальних для держави напрямів розвитку науки і техніки та (або) інноваційної діяльності;</w:t>
            </w:r>
          </w:p>
          <w:p w14:paraId="00000112" w14:textId="77777777" w:rsidR="009911C7" w:rsidRDefault="0010515C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участь в міжнародних об'єднаннях дослідницьких інфраструктур та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сприяння міжнародному науково-технічному співробітництву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;</w:t>
            </w:r>
          </w:p>
          <w:p w14:paraId="00000113" w14:textId="77777777" w:rsidR="009911C7" w:rsidRDefault="0010515C">
            <w:pPr>
              <w:widowControl w:val="0"/>
              <w:numPr>
                <w:ilvl w:val="0"/>
                <w:numId w:val="1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надання відкритого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доступу до унікального дослідно-експериментального устаткування та обладнання.</w:t>
            </w:r>
          </w:p>
          <w:p w14:paraId="00000114" w14:textId="77777777" w:rsidR="009911C7" w:rsidRDefault="009911C7">
            <w:pPr>
              <w:widowControl w:val="0"/>
              <w:spacing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15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5. Національні наукові центри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можуть входити в інноваційні кластери та (або) брати участь у мережах розподіленої дослідницької інфраструктури на основі договору про спільну дія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льність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 порядку, визначеному законодавством,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в рамках пріоритетних тематичних напрямів досліджень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 метою зменшення витрат на їх утримання та обслуговування. До Національних наукових центрів можуть входити Ключові дослідницькі лабораторії та Центри колек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тивного користування науковим обладнанням.</w:t>
            </w:r>
          </w:p>
          <w:p w14:paraId="00000116" w14:textId="77777777" w:rsidR="009911C7" w:rsidRDefault="009911C7">
            <w:pPr>
              <w:widowControl w:val="0"/>
              <w:spacing w:line="240" w:lineRule="auto"/>
              <w:ind w:firstLine="5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17" w14:textId="77777777" w:rsidR="009911C7" w:rsidRDefault="0010515C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6. Органом управління науковою і науково-технічною діяльністю Національного наукового центру є Наукова рада Національного наукового центру. Проведення незалежної оцінки результатів наукової та науково-технічної 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іяльності Національного наукового центру здійснює Наглядова рада Національного наукового центру.</w:t>
            </w:r>
          </w:p>
          <w:p w14:paraId="00000118" w14:textId="77777777" w:rsidR="009911C7" w:rsidRDefault="009911C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19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Фінансова підтримка наукової і науково-технічної діяльності Національних наукових центрів здійснюється за рахунок державних цільових програм, цільових прог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рам Фонду розвитку інновацій, інших державних коштів, фондів підтримки наукової і науково-технічної діяльності, міжнародних грантів, інших джерел, не заборонених законодавством.</w:t>
            </w:r>
          </w:p>
        </w:tc>
      </w:tr>
      <w:tr w:rsidR="009911C7" w14:paraId="30F77384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1A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15. Державна ключова лабораторія</w:t>
            </w:r>
          </w:p>
          <w:p w14:paraId="0000011B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З метою підтримки та розвитку фундаментальних досліджень на світовому рівні, нових перспективних міждисциплінарних напрямів наукових досліджень і науково-технічних розробок, координації спільної діяльності та ефективного використання фінансових, матеріа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льно-технічних та кадрових ресурсів за визначеним науковим напрямом можуть утворюватися державні ключові лабораторії. Державні ключові лабораторії можуть бути новою юридичною особою або об’єднанням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наукових груп установ та (або) університетів, академій, ін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ститутів на основі договору про спільну наукову діяльність у порядку, визначеному законом.</w:t>
            </w:r>
          </w:p>
          <w:p w14:paraId="0000011C" w14:textId="77777777" w:rsidR="009911C7" w:rsidRDefault="009911C7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1D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Фінансова підтримка наукової і науково-технічної діяльності державних ключових лабораторій здійснюється за рахунок цільових програм Національного фонду досліджен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ь, інших державних коштів, фондів підтримки наукової і науково-технічної діяльності, міжнародних грантів, інших джерел, не заборонених законодавством, та коштів сторін - учасників такої лабораторії.</w:t>
            </w:r>
          </w:p>
          <w:p w14:paraId="0000011E" w14:textId="74617A0A" w:rsidR="009911C7" w:rsidRDefault="009911C7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93B4B0" w14:textId="77777777" w:rsidR="00C74E36" w:rsidRDefault="00C74E36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1F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Статус державної ключової лабораторії з відповідного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напряму наукових досліджень і науково-технічних розробок надається з дня її державної реєстрації центральним органом виконавчої влади, що забезпечує формування та реалізує державну політику у сфері наукової і науково-технічної діяльності, у </w:t>
            </w:r>
            <w:hyperlink r:id="rId13" w:anchor="n12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порядку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визначеному Кабінетом Міністрів України.</w:t>
            </w:r>
          </w:p>
          <w:p w14:paraId="00000120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Статус державної ключової лабораторії надається на визначений період (від п’яти до семи років), який за результатами звіту про діяльність клю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чової лабораторії може бути продовжений у порядку, визначеному Кабінетом Міністрів України.</w:t>
            </w:r>
          </w:p>
          <w:p w14:paraId="00000121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Органом управління науковою і науково-технічною діяльністю державної ключової лабораторії є наукова рада, що діє на підставі відповідного положення. При державні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й ключовій лабораторії може створюватися наглядова рада, до складу якої можуть входити іноземні вчені.</w:t>
            </w:r>
          </w:p>
          <w:p w14:paraId="00000122" w14:textId="0D73EBD1" w:rsidR="009911C7" w:rsidRDefault="009911C7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2A7689" w14:textId="77777777" w:rsidR="0010515C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23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4" w:anchor="n99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Примірне положення про наукову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hyperlink r:id="rId15" w:anchor="n139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наглядову ради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державної ключової лабораторії затверджується Кабінетом Міністрів України.</w:t>
            </w:r>
          </w:p>
          <w:p w14:paraId="00000124" w14:textId="77777777" w:rsidR="009911C7" w:rsidRDefault="009911C7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25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hyperlink r:id="rId16" w:anchor="n50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Тип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ове положення про державну ключову лабораторію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затверджується Кабінетом Міністрів України.</w:t>
            </w:r>
          </w:p>
          <w:p w14:paraId="00000126" w14:textId="77777777" w:rsidR="009911C7" w:rsidRDefault="009911C7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27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Стаття 15. Ключова дослідницька лабораторія</w:t>
            </w:r>
          </w:p>
          <w:p w14:paraId="00000128" w14:textId="77777777" w:rsidR="009911C7" w:rsidRDefault="0010515C">
            <w:pPr>
              <w:numPr>
                <w:ilvl w:val="0"/>
                <w:numId w:val="2"/>
              </w:numPr>
              <w:spacing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Ключові дослідницькі лабораторії є договірним або статутним об’єднанням структурних підрозділів наукових установ та (або) закладів вищої освіти незалежно від відомчого підпорядкування та форми власності, що створюється для підтримки та розвитку фундаментал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ьних досліджень на світовому рівні, нових перспективних міждисциплінарних напрямів наукових досліджень і науково-технічних розробок, координації спільної діяльності та ефективного використання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фінансових, матеріально-технічних та кадрових ресурсів за визна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ченим науковим напрямом. </w:t>
            </w:r>
          </w:p>
          <w:p w14:paraId="00000129" w14:textId="3C9B7FCC" w:rsidR="009911C7" w:rsidRDefault="009911C7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4827FF7" w14:textId="77777777" w:rsidR="0010515C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2B" w14:textId="6F87A2DE" w:rsidR="009911C7" w:rsidRDefault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Фінансова підтримка наукової і науково-технічної діяльності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ключових дослідницьких лабораторій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здійснюється за рахунок цільових програм Національного фонду досліджень, інших державних коштів, фондів підтримки наукової і науко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во-технічної діяльності, міжнародних грантів, інших джерел, не заборонених законодавством, та коштів сторін - учасників такої лабораторії. </w:t>
            </w:r>
          </w:p>
          <w:p w14:paraId="6BF879D5" w14:textId="77777777" w:rsidR="00C74E36" w:rsidRDefault="00C74E36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2C" w14:textId="4180242C" w:rsidR="009911C7" w:rsidRDefault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Статус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ключової дослідницької лабораторії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відповідного напряму наукових досліджень і науково-технічних розробок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надається з дня її державної реєстрації центральним органом виконавчої влади, що забезпечує формування та реалізує державну політику у сфері наукової і науково-технічної діяльності, у </w:t>
            </w:r>
            <w:hyperlink r:id="rId17" w:anchor="n12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порядку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визначеному Кабінетом Міністрів України.</w:t>
            </w:r>
          </w:p>
          <w:p w14:paraId="0000012D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Статус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ключових дослідницьких лабораторій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надається на визначений період (від п’яти до семи років), який за результатами звіту про діяльність ключової лабораторії може бути продовжений у порядку,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изначеному Кабінетом Міністрів України.</w:t>
            </w:r>
          </w:p>
          <w:p w14:paraId="0000012E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Органом управління науковою і науково-технічною діяльністю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ключових дослідницьких лабораторій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є наукова рада, що діє на підставі відповідного положення. При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ключових дослідницьких лабораторій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може створюватися наг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лядова рада, до складу якої можуть входити іноземні вчені.</w:t>
            </w:r>
          </w:p>
          <w:p w14:paraId="0000012F" w14:textId="77777777" w:rsidR="009911C7" w:rsidRDefault="009911C7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30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8" w:anchor="n99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Примірне положення про наукову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hyperlink r:id="rId19" w:anchor="n139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наглядову ради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ключової дослідницької лабораторії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затверджується Кабінетом Міністрів України.</w:t>
            </w:r>
          </w:p>
          <w:p w14:paraId="00000131" w14:textId="77777777" w:rsidR="009911C7" w:rsidRDefault="009911C7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32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hyperlink r:id="rId20" w:anchor="n50">
              <w:r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 xml:space="preserve">Типове положення про </w:t>
              </w:r>
            </w:hyperlink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ключову дослідницьку лабораторію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затверджується Кабінетом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Міністрів України.</w:t>
            </w:r>
          </w:p>
          <w:p w14:paraId="00000133" w14:textId="77777777" w:rsidR="009911C7" w:rsidRDefault="0010515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6. Завдання ключових дослідницьких лабораторій є:</w:t>
            </w:r>
          </w:p>
          <w:p w14:paraId="00000134" w14:textId="77777777" w:rsidR="009911C7" w:rsidRDefault="0010515C">
            <w:pPr>
              <w:numPr>
                <w:ilvl w:val="0"/>
                <w:numId w:val="9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підтримка та розвиток фундаментальних досліджень на світовому рівні;</w:t>
            </w:r>
          </w:p>
          <w:p w14:paraId="00000135" w14:textId="77777777" w:rsidR="009911C7" w:rsidRDefault="0010515C">
            <w:pPr>
              <w:numPr>
                <w:ilvl w:val="0"/>
                <w:numId w:val="9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проведення нових перспективних міждисциплінарних напрямів наукових досліджень і науково-технічних розробок;</w:t>
            </w:r>
          </w:p>
          <w:p w14:paraId="00000136" w14:textId="77777777" w:rsidR="009911C7" w:rsidRDefault="0010515C">
            <w:pPr>
              <w:numPr>
                <w:ilvl w:val="0"/>
                <w:numId w:val="9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координація спільної діяльності та ефективного використання фінансових, матеріально-технічних та кадрових ресурсів за визначеним науковим напрямом;</w:t>
            </w:r>
          </w:p>
          <w:p w14:paraId="00000137" w14:textId="77777777" w:rsidR="009911C7" w:rsidRDefault="0010515C">
            <w:pPr>
              <w:widowControl w:val="0"/>
              <w:numPr>
                <w:ilvl w:val="0"/>
                <w:numId w:val="9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надання відкритого доступу та надання послуг з використання науковим обладнанням;</w:t>
            </w:r>
          </w:p>
          <w:p w14:paraId="00000138" w14:textId="77777777" w:rsidR="009911C7" w:rsidRDefault="0010515C">
            <w:pPr>
              <w:numPr>
                <w:ilvl w:val="0"/>
                <w:numId w:val="9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lastRenderedPageBreak/>
              <w:t xml:space="preserve"> надання послуг із провед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ення наукових досліджень на науковому обладнанні, яке знаходиться в її розпорядженні, замовнику такої послуги;</w:t>
            </w:r>
          </w:p>
          <w:p w14:paraId="00000139" w14:textId="77777777" w:rsidR="009911C7" w:rsidRDefault="0010515C">
            <w:pPr>
              <w:numPr>
                <w:ilvl w:val="0"/>
                <w:numId w:val="9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 xml:space="preserve"> обмін досвідом між вченими стосовно найкращих та успішно реалізованих наукових проектів,  підтримка та (або) навчання молодих вчених за різними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пріоритетними тематичними напрямами наукових досліджень і науково-технічних розробок, сприяння взаємодії вчених з суб'єктами інноваційної діяльності задля вирішення соціальних та економічних проблем національного і глобального значення.</w:t>
            </w:r>
          </w:p>
          <w:p w14:paraId="0000013A" w14:textId="77777777" w:rsidR="009911C7" w:rsidRDefault="009911C7">
            <w:pPr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</w:p>
          <w:p w14:paraId="0000013B" w14:textId="77777777" w:rsidR="009911C7" w:rsidRDefault="0010515C" w:rsidP="0010515C">
            <w:pPr>
              <w:spacing w:line="240" w:lineRule="auto"/>
              <w:ind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 Види ключових дослідницьких лабораторій:</w:t>
            </w:r>
          </w:p>
          <w:p w14:paraId="0000013C" w14:textId="77777777" w:rsidR="009911C7" w:rsidRDefault="0010515C">
            <w:pPr>
              <w:numPr>
                <w:ilvl w:val="0"/>
                <w:numId w:val="3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Ключові дослідницькі лабораторії для фундаментальних досліджень створюються з метою підтримки конкурентоспроможних на міжнародному рівні фундаментальних досліджень для підвищення міжнародного авторитету країни 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окремих напрямах наукових досліджень та інтеграції вчених до міжнародних дослідницьких інфраструктур; </w:t>
            </w:r>
          </w:p>
          <w:p w14:paraId="0000013D" w14:textId="77777777" w:rsidR="009911C7" w:rsidRDefault="0010515C">
            <w:pPr>
              <w:numPr>
                <w:ilvl w:val="0"/>
                <w:numId w:val="3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Ключові дослідницькі лабораторії для прикладних досліджень, інновацій та технологічного розвитку (або трансферу технологій) створюються з метою підтрим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ки прикладних досліджень та розробок, спрямованих на високотехнологічний розвиток економіки, збільшення частки високотехнологічних виробництв, а також конкурентоспроможних на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міжнародному рівні прикладних досліджень та розробок для комерціалізації вченими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та іншими суб'єктами інноваційної діяльності результатів наукових досліджень та їх впровадження на національному та міжнародних ринках; </w:t>
            </w:r>
          </w:p>
          <w:p w14:paraId="0000013E" w14:textId="77777777" w:rsidR="009911C7" w:rsidRDefault="0010515C">
            <w:pPr>
              <w:numPr>
                <w:ilvl w:val="0"/>
                <w:numId w:val="3"/>
              </w:numPr>
              <w:spacing w:line="240" w:lineRule="auto"/>
              <w:ind w:left="0" w:firstLine="46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Ключові дослідницькі лабораторії для соціально-економічного розвитку створюються з метою обміну досвідом між вченими с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тосовно найкращих та успішно реалізованих наукових проектів,  підтримки та / або навчання молодих вчених за різними напрямами наукових досліджень та розробок, сприяння взаємодії вчених з інноваційними підприємствами задля вирішення соціальних та економічни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 проблем національного і глобального значення.</w:t>
            </w:r>
          </w:p>
        </w:tc>
      </w:tr>
      <w:tr w:rsidR="009911C7" w14:paraId="20176AE4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3F" w14:textId="77777777" w:rsidR="009911C7" w:rsidRDefault="0010515C">
            <w:pPr>
              <w:widowControl w:val="0"/>
              <w:shd w:val="clear" w:color="auto" w:fill="FFFFFF"/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Положення відсутнє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0" w14:textId="77777777" w:rsidR="009911C7" w:rsidRDefault="001051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Стаття 16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Державний реєстр дослідницької інфраструктури</w:t>
            </w:r>
          </w:p>
          <w:p w14:paraId="00000141" w14:textId="77777777" w:rsidR="009911C7" w:rsidRDefault="009911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0000142" w14:textId="77777777" w:rsidR="009911C7" w:rsidRDefault="0010515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З метою організації та обліку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суб'єктів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 об'єктів дослідницької інфраструктури створюється Державний реєстр дослідницької інфраструктури.</w:t>
            </w:r>
          </w:p>
          <w:p w14:paraId="00000143" w14:textId="77777777" w:rsidR="009911C7" w:rsidRDefault="0010515C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firstLine="36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Державний реєстр дослідницької інфраструктури веде центральний орган виконавчої влади, що забезпечує формування та реалізацію державної політики у сфері 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укової і науково-технічної діяльності. </w:t>
            </w:r>
          </w:p>
          <w:p w14:paraId="00000144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Облік об’єктів дослідницької інфраструктури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обов’язково повинен передбачати посилання на ідентифікаційний код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юридичної особи, що зареєстрована в Єдиному державному реєстрі підприємств та організацій України, на бала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нсі якої знаходиться об’єкт дослідницької інфраструктури, в тому числі, якщо об’єкт закріплено за підрозділом такої юридичної особи.</w:t>
            </w:r>
          </w:p>
          <w:p w14:paraId="00000145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Положення про порядок організації та ведення Державного реєстру дослідницької інфраструктури затверджується Кабінетом Міністрів України.</w:t>
            </w:r>
          </w:p>
        </w:tc>
      </w:tr>
      <w:tr w:rsidR="009911C7" w14:paraId="3D6C81CC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6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20. Національна рада України з питань розвитку науки і технологій</w:t>
            </w:r>
          </w:p>
          <w:p w14:paraId="00000147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48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Основними функціями Національної ради України з питань розвитку науки і технологій є:</w:t>
            </w:r>
          </w:p>
          <w:p w14:paraId="00000149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4A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9) підготовка пропозицій щодо принципів створення та стратегії розвитку державної дослідницької інфраструктури, системи державних ключових лабораторій;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4B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 20.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ціональна рада України з питань розвитку науки і технологій</w:t>
            </w:r>
          </w:p>
          <w:p w14:paraId="0000014C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4D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 Основними функціями Національної ради України з питань розвитку науки і технологій є:</w:t>
            </w:r>
          </w:p>
          <w:p w14:paraId="0000014E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4F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9) підготовка пропозицій щодо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засад утворення, діяльності та розвитку різних суб’єктів дослідницької ін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фраструктури</w:t>
            </w:r>
          </w:p>
        </w:tc>
      </w:tr>
      <w:tr w:rsidR="009911C7" w14:paraId="06BC4834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50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 24. Рада молодих вчених</w:t>
            </w:r>
          </w:p>
          <w:p w14:paraId="00000151" w14:textId="699FF40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8619D7D" w14:textId="77777777" w:rsidR="00C74E36" w:rsidRDefault="00C74E36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2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 Рада молодих вчених є колегіальним виборним дорадчим органом, що утворюється для забезпечення захисту прав та інтересів молодих вчених.</w:t>
            </w:r>
          </w:p>
          <w:p w14:paraId="00000153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4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5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6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 молодих вчених можуть утворюватися при центральних органах виконавчої влади, Раді міністрів Автономної Республіки Крим, обласних, Київській та Севастопольській міських державних адміністраціях, Національній академії наук України, національних галузеви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 академіях наук, наукових центрах, ключових лабораторіях, закладах вищої освіти та наукових установах України.</w:t>
            </w:r>
          </w:p>
          <w:p w14:paraId="00000157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8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9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A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B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C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D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5E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Представники ради молодих вчених входять до складу вищого колегіального керівного органу установи чи органу влади, при якому створено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раду молодих вчених.</w:t>
            </w:r>
          </w:p>
          <w:p w14:paraId="0000015F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0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1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2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3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4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5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6" w14:textId="26EEB09C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DFA2544" w14:textId="70747E50" w:rsidR="00C74E36" w:rsidRDefault="00C74E36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01EB062" w14:textId="77777777" w:rsidR="00C74E36" w:rsidRDefault="00C74E36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7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8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Центральні органи виконавчої влади, Національна академія наук України, національні галузеві академії наук, заклади вищої освіти, при яких створено раду молодих вчених, сприяють її діяльності та можуть фінансувати заходи і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роекти, що ініціюються радою молодих вчених.</w:t>
            </w:r>
          </w:p>
          <w:p w14:paraId="00000169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Типове положення про раду молодих вчених при органах виконавчої влади затверджується Кабінетом Міністрів України.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6A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24. Рада молодих вчених</w:t>
            </w:r>
          </w:p>
          <w:p w14:paraId="0000016B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6C" w14:textId="77777777" w:rsidR="009911C7" w:rsidRDefault="0010515C">
            <w:pPr>
              <w:keepLines/>
              <w:widowControl w:val="0"/>
              <w:numPr>
                <w:ilvl w:val="3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0" w:firstLine="32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Рада молодих вчених є колегіальним виборним дорадчим органом, що утворюється для забезпечення захисту прав та інтересів молодих вчених, який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є невід’ємною частиною громадського самоврядування відповідних закладів та установ.</w:t>
            </w:r>
          </w:p>
          <w:p w14:paraId="0000016D" w14:textId="77777777" w:rsidR="009911C7" w:rsidRDefault="009911C7">
            <w:pPr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18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14:paraId="0000016E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Ради молодих вчених можуть утв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орюватися при центральних органах виконавчої влади, Раді міністрів Автономної Республіки Крим, обласних, Київській та Севастопольській міських державних адміністраціях, Національній академії наук України, національних галузевих академіях наук, наукових цен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трах, ключових лабораторіях, закладах вищої освіти та наукових установах України.</w:t>
            </w:r>
          </w:p>
          <w:p w14:paraId="0000016F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Рада молодих вчених об’єднує молодих вчених відповідного закладу або установи. Усі молоді вчені, які навчаються або працюють у закладі або установі, мають рівні права та можуть обиратися і бути обраними в робочі, дорадчі, виборні та інші органи Ради молоди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 вчених.</w:t>
            </w:r>
          </w:p>
          <w:p w14:paraId="00000170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71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У своїй діяльності Рада молодих вчених керується законодавством, статутом закладу вищої освіти або установи, при яких створено раду молодих вчених та положенням про Раду молодих вчених.</w:t>
            </w:r>
          </w:p>
          <w:p w14:paraId="00000172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Представники ради молодих вчених входять до складу вищого колегіального керівного органу установи чи органу влади, при якому створено раду молодих вчених.</w:t>
            </w:r>
          </w:p>
          <w:p w14:paraId="00000173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Рада молодих вчених може бути зареєстрована як громадська організація відповідно до законодавства з 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рахуванням особливостей, встановлених цим Законом.</w:t>
            </w:r>
          </w:p>
          <w:p w14:paraId="00000174" w14:textId="77777777" w:rsidR="009911C7" w:rsidRDefault="009911C7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75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Центральні органи виконавчої влади, Національна академія наук України, національні галузеві академії наук, заклади вищої освіти, при яких створено раду молодих вчених, сприяють її діяльності та можуть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фінансувати заходи і проекти, що ініціюються радою молодих вчених.</w:t>
            </w:r>
          </w:p>
          <w:p w14:paraId="00000176" w14:textId="77777777" w:rsidR="009911C7" w:rsidRDefault="0010515C">
            <w:pPr>
              <w:keepLines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Положення про раду молодих вчених при органах виконавчої влади затверджується Кабінетом Міністрів України.</w:t>
            </w:r>
          </w:p>
        </w:tc>
      </w:tr>
      <w:tr w:rsidR="009911C7" w14:paraId="002AA53F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7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45. Цілі та напрями державної політики у сфері наукової і науково-техні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чної діяльності</w:t>
            </w:r>
          </w:p>
          <w:p w14:paraId="00000178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79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Держава забезпечує:</w:t>
            </w:r>
          </w:p>
          <w:p w14:paraId="0000017A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7B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7C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створення сучасної наукової інфраструктури і системи інформаційного забезпечення наукової і науково-технічної діяльності, інтеграцію освіти, науки і виробництва;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7D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 45. Цілі та напрями державної політики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сфері наукової і науково-технічної діяльності</w:t>
            </w:r>
          </w:p>
          <w:p w14:paraId="0000017E" w14:textId="77777777" w:rsidR="009911C7" w:rsidRDefault="001051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7F" w14:textId="77777777" w:rsidR="009911C7" w:rsidRDefault="001051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Держава забезпечує:</w:t>
            </w:r>
          </w:p>
          <w:p w14:paraId="00000180" w14:textId="77777777" w:rsidR="009911C7" w:rsidRDefault="001051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81" w14:textId="77777777" w:rsidR="009911C7" w:rsidRDefault="0010515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створення сучасної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дослідницької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інфраструктури і системи інформаційного забезпечення наукової і науково-технічної діяльності, інтеграцію освіти, науки і виробництва;</w:t>
            </w:r>
          </w:p>
        </w:tc>
      </w:tr>
      <w:tr w:rsidR="009911C7" w14:paraId="7F1217C2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82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48. Фінансове забезпечення наукової і науково-технічної діяльності</w:t>
            </w:r>
          </w:p>
          <w:p w14:paraId="00000183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84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Бюджетне фінансування наукової та (або) науково-технічної діяльності за рахунок коштів загального фонду державного бюджету спрямовується на забезпечення:</w:t>
            </w:r>
          </w:p>
          <w:p w14:paraId="00000185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86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Положення відсутнє</w:t>
            </w:r>
          </w:p>
          <w:p w14:paraId="00000187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88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89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8A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Базове фінансування основної діяльності державних наукових установ, що фінансуються за рахунок коштів державного бюджету, наукових досліджень університетів, академій, інститутів здійснюється для:</w:t>
            </w:r>
          </w:p>
          <w:p w14:paraId="0000018B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8C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8D" w14:textId="77777777" w:rsidR="009911C7" w:rsidRDefault="0010515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розвитку інфраструктури наукової і науково-технічної діяльності;</w:t>
            </w:r>
          </w:p>
          <w:p w14:paraId="0000018E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8F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 Кошти бюджетних програм сприяння розвитку виробничо-орієнтованих наукових установ спрямовуються на:</w:t>
            </w:r>
          </w:p>
          <w:p w14:paraId="00000190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91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розвиток інфраструктури та оновлення матеріально-технічної бази наукової і науково-технічної діяльності;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92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 48. Фінансове забезпечення наукової і науково-технічної діяльності</w:t>
            </w:r>
          </w:p>
          <w:p w14:paraId="00000193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94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Бюджетне фінансування наукової та (або) науково-технічної діяльності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рахунок коштів загального фонду державного бюджету спрямовується на забезпечення:</w:t>
            </w:r>
          </w:p>
          <w:p w14:paraId="00000195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96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 створення та функціонування дослідницької інфраструктури в рамках виконання державних цільових програм;</w:t>
            </w:r>
          </w:p>
          <w:p w14:paraId="00000197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98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 Базове фінансування основної діяльності державних наукових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установ, що фінансуються за рахунок коштів державного бюджету, наукових досліджень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закладів вищої освіти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здійснюється для:</w:t>
            </w:r>
          </w:p>
          <w:p w14:paraId="00000199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9A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9B" w14:textId="77777777" w:rsidR="009911C7" w:rsidRDefault="0010515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4" w:hanging="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розвитку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дослідницької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інфраструктури; </w:t>
            </w:r>
          </w:p>
          <w:p w14:paraId="0000019C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9D" w14:textId="77777777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000019E" w14:textId="77777777" w:rsidR="009911C7" w:rsidRDefault="0010515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Кошти бюджетних програм сприяння розвитку виробничо-орієнтованих наукових установ спрямовуються на:</w:t>
            </w:r>
          </w:p>
          <w:p w14:paraId="0000019F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A0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розвиток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дослідницької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інфраструктури та оновлення матеріально-технічної бази наукової і науково-технічної діяльності;</w:t>
            </w:r>
          </w:p>
        </w:tc>
      </w:tr>
      <w:tr w:rsidR="009911C7" w14:paraId="74265E51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A1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51. Види та напрями грантової підтримки Національного фонду досліджень України</w:t>
            </w:r>
          </w:p>
          <w:p w14:paraId="000001A2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A3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Напрямами грантової підтримки Національного фонду досліджень України є:</w:t>
            </w:r>
          </w:p>
          <w:p w14:paraId="000001A4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виконання наукових досліджень і розробок;</w:t>
            </w:r>
          </w:p>
          <w:p w14:paraId="000001A5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розвиток матеріально-технічної бази наукових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досліджень і розробок високого рівня;</w:t>
            </w:r>
          </w:p>
          <w:p w14:paraId="000001A6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розвиток наукової співпраці, у тому числі наукова мобільність, організація, проведення та участь у конференціях, симпозіумах, спільні дослідження університетів та наукових установ тощо;</w:t>
            </w:r>
          </w:p>
          <w:p w14:paraId="000001A7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4) наукове стажування науков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их, науково-педагогічних працівників, аспірантів, ад’юнктів, докторантів, у тому числі за кордоном;</w:t>
            </w:r>
          </w:p>
          <w:p w14:paraId="000001A8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{Пункт 4 частини другої статті 51 в редакції Закону</w:t>
            </w:r>
            <w:hyperlink r:id="rId21" w:anchor="n52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</w:t>
              </w:r>
            </w:hyperlink>
            <w:hyperlink r:id="rId22" w:anchor="n52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</w:rPr>
                <w:t>№ 870-IX від 03.09.2020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- вводиться в дію з 03.01.2021, див.</w:t>
            </w:r>
            <w:hyperlink r:id="rId23" w:anchor="n60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</w:rPr>
                <w:t xml:space="preserve"> </w:t>
              </w:r>
            </w:hyperlink>
            <w:hyperlink r:id="rId24" w:anchor="n60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u w:val="single"/>
                </w:rPr>
                <w:t>пункт 1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розділу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II}</w:t>
            </w:r>
          </w:p>
          <w:p w14:paraId="000001A9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створення, функціонування та розвиток дослідницької інфраструктури;</w:t>
            </w:r>
          </w:p>
          <w:p w14:paraId="000001AA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 трансфер знань та їх поширення;</w:t>
            </w:r>
          </w:p>
          <w:p w14:paraId="000001AB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підтримка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молодих вчених;</w:t>
            </w:r>
          </w:p>
          <w:p w14:paraId="000001AC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відсутнє</w:t>
            </w:r>
          </w:p>
          <w:p w14:paraId="000001AD" w14:textId="646B45D4" w:rsidR="009911C7" w:rsidRDefault="009911C7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262BE2C" w14:textId="21263D88" w:rsidR="00C74E36" w:rsidRDefault="00C74E36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3134FF1" w14:textId="77777777" w:rsidR="00C74E36" w:rsidRDefault="00C74E36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00001AE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8) підтримка діяльності, спрямованої на залучення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учнівської молоді до наукової та 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ауково-технічної діяльності;</w:t>
            </w:r>
          </w:p>
          <w:p w14:paraId="000001AF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9) популяризація науки;</w:t>
            </w:r>
          </w:p>
          <w:p w14:paraId="000001B0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10) інші напрями, погоджені наглядовою радою Національного фонду досліджень України.</w:t>
            </w:r>
          </w:p>
          <w:p w14:paraId="000001B1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B2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51. Види та напрями грантової підтримки Національного фонду досліджень України</w:t>
            </w:r>
          </w:p>
          <w:p w14:paraId="000001B3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B4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Напрямами грантової підтримки Національного фонду досліджень України є:</w:t>
            </w:r>
          </w:p>
          <w:p w14:paraId="000001B5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виконання наукових досліджень і розробок;</w:t>
            </w:r>
          </w:p>
          <w:p w14:paraId="000001B6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розвиток матеріально-технічної бази наукових досліджень і розробок високого рівня;</w:t>
            </w:r>
          </w:p>
          <w:p w14:paraId="000001B7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3) розвиток наукової співпраці, у тому числі науко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ва мобільність, організація, проведення та участь у конференціях, симпозіумах, спільні дослідження університетів та наукових установ тощо;</w:t>
            </w:r>
          </w:p>
          <w:p w14:paraId="000001B8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наукове стажування наукових, науково-педагогічних працівників, аспірантів, ад’юнктів, докторантів, у тому числі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кордоном;</w:t>
            </w:r>
          </w:p>
          <w:p w14:paraId="000001B9" w14:textId="77777777" w:rsidR="009911C7" w:rsidRDefault="0010515C">
            <w:pPr>
              <w:widowControl w:val="0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{Пункт 4 частини другої статті 51 в редакції Закону</w:t>
            </w:r>
            <w:hyperlink r:id="rId25" w:anchor="n52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highlight w:val="white"/>
                </w:rPr>
                <w:t xml:space="preserve"> </w:t>
              </w:r>
            </w:hyperlink>
            <w:hyperlink r:id="rId26" w:anchor="n52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highlight w:val="white"/>
                  <w:u w:val="single"/>
                </w:rPr>
                <w:t>№ 870-IX від 03.09.2020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- вводиться в дію з 03.01.2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>021, див.</w:t>
            </w:r>
            <w:hyperlink r:id="rId27" w:anchor="n60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highlight w:val="white"/>
                </w:rPr>
                <w:t xml:space="preserve"> </w:t>
              </w:r>
            </w:hyperlink>
            <w:hyperlink r:id="rId28" w:anchor="n60">
              <w:r>
                <w:rPr>
                  <w:rFonts w:ascii="Times New Roman" w:eastAsia="Times New Roman" w:hAnsi="Times New Roman" w:cs="Times New Roman"/>
                  <w:i/>
                  <w:sz w:val="28"/>
                  <w:szCs w:val="28"/>
                  <w:highlight w:val="white"/>
                  <w:u w:val="single"/>
                </w:rPr>
                <w:t>пункт 1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white"/>
              </w:rPr>
              <w:t xml:space="preserve"> розділу II}</w:t>
            </w:r>
          </w:p>
          <w:p w14:paraId="000001BA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5) створення, функціонування та розвиток дослідницької інфраструктури;</w:t>
            </w:r>
          </w:p>
          <w:p w14:paraId="000001BB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6) трансфер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нань та їх поширення;</w:t>
            </w:r>
          </w:p>
          <w:p w14:paraId="000001BC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7) підтримка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наукової діяльності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молодих вчених,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відповідно до категорій молодих вчених, визначених статтею 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цього Закону;</w:t>
            </w:r>
          </w:p>
          <w:p w14:paraId="000001BD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забезпечення програм навчання в аспірантурі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(ад’юнктурі), докторантурі, інтернатурі, резидентурі;</w:t>
            </w:r>
          </w:p>
          <w:p w14:paraId="000001BE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8) підтримка діяльності, спрямованої на залучення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учнівської молоді до наукової та науково-технічної діяльності;</w:t>
            </w:r>
          </w:p>
          <w:p w14:paraId="000001BF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9) популяризація науки;</w:t>
            </w:r>
          </w:p>
          <w:p w14:paraId="000001C0" w14:textId="77777777" w:rsidR="009911C7" w:rsidRDefault="0010515C">
            <w:pPr>
              <w:widowControl w:val="0"/>
              <w:shd w:val="clear" w:color="auto" w:fill="FFFFFF"/>
              <w:spacing w:line="240" w:lineRule="auto"/>
              <w:ind w:firstLine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10) інші напрями, погоджені наглядовою радою Національного фонду досліджень України.</w:t>
            </w:r>
          </w:p>
        </w:tc>
      </w:tr>
      <w:tr w:rsidR="009911C7" w14:paraId="58EF0CBB" w14:textId="77777777">
        <w:tc>
          <w:tcPr>
            <w:tcW w:w="72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1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Стаття 66. Державна підтримка міжнародного наукового та науково-технічного співробітництва</w:t>
            </w:r>
          </w:p>
          <w:p w14:paraId="000001C2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C3" w14:textId="77777777" w:rsidR="009911C7" w:rsidRDefault="0010515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5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Держава забезпечує інтеграцію національного дослідницького простору до Європейського дослідницького простору шляхом реалізації його пріоритетів, зокрема:</w:t>
            </w:r>
          </w:p>
          <w:p w14:paraId="000001C4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C5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4) узго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дження стратегії створення державних дослідницьких інфраструктур з дорожньою картою Європейських дослідницьких інфраструктур;</w:t>
            </w:r>
          </w:p>
        </w:tc>
        <w:tc>
          <w:tcPr>
            <w:tcW w:w="7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1C6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Стаття 66. Державна підтримка міжнародного наукового та науково-технічного співробітництва</w:t>
            </w:r>
          </w:p>
          <w:p w14:paraId="000001C7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C8" w14:textId="77777777" w:rsidR="009911C7" w:rsidRDefault="0010515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Держава забезпечує інтеграцію національного дослідницького простору до Європейського дослідницького простору шляхом реалізації його пріоритетів, зокрема:</w:t>
            </w:r>
          </w:p>
          <w:p w14:paraId="000001C9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</w:p>
          <w:p w14:paraId="000001CA" w14:textId="77777777" w:rsidR="009911C7" w:rsidRDefault="0010515C">
            <w:pPr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4) узгодження </w:t>
            </w:r>
            <w:sdt>
              <w:sdtPr>
                <w:tag w:val="goog_rdk_0"/>
                <w:id w:val="-1871679113"/>
              </w:sdtPr>
              <w:sdtEndPr/>
              <w:sdtContent/>
            </w:sdt>
            <w:sdt>
              <w:sdtPr>
                <w:tag w:val="goog_rdk_1"/>
                <w:id w:val="1176073882"/>
              </w:sdtPr>
              <w:sdtEndPr/>
              <w:sdtContent/>
            </w:sdt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державної цільової програми розвитку  дослідницької інфраструктури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дорожньою картою Європейських дослідницьких інфраструктур;</w:t>
            </w:r>
          </w:p>
        </w:tc>
      </w:tr>
    </w:tbl>
    <w:p w14:paraId="000001CB" w14:textId="77777777" w:rsidR="009911C7" w:rsidRDefault="009911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C" w14:textId="77777777" w:rsidR="009911C7" w:rsidRDefault="009911C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1CD" w14:textId="601A1A2E" w:rsidR="009911C7" w:rsidRDefault="0010515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Міністр освіти і науки України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Сергій ШКАРЛЕТ</w:t>
      </w:r>
    </w:p>
    <w:p w14:paraId="000001CE" w14:textId="161B641A" w:rsidR="009911C7" w:rsidRDefault="0010515C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«____»_______________2021 р.</w:t>
      </w:r>
    </w:p>
    <w:sectPr w:rsidR="009911C7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5BB"/>
    <w:multiLevelType w:val="multilevel"/>
    <w:tmpl w:val="169803D6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33AFD"/>
    <w:multiLevelType w:val="multilevel"/>
    <w:tmpl w:val="64A6B820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95A"/>
    <w:multiLevelType w:val="multilevel"/>
    <w:tmpl w:val="DA28B1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D796696"/>
    <w:multiLevelType w:val="multilevel"/>
    <w:tmpl w:val="C2B2C8A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1F71668"/>
    <w:multiLevelType w:val="multilevel"/>
    <w:tmpl w:val="B0AC3DE0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9AA"/>
    <w:multiLevelType w:val="multilevel"/>
    <w:tmpl w:val="D68EB51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7C45F70"/>
    <w:multiLevelType w:val="multilevel"/>
    <w:tmpl w:val="263C30A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C0DE7"/>
    <w:multiLevelType w:val="multilevel"/>
    <w:tmpl w:val="36ACC71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EBE7332"/>
    <w:multiLevelType w:val="multilevel"/>
    <w:tmpl w:val="0A1AEBA6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514A5"/>
    <w:multiLevelType w:val="multilevel"/>
    <w:tmpl w:val="68C8399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F10042"/>
    <w:multiLevelType w:val="multilevel"/>
    <w:tmpl w:val="3B6622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C7"/>
    <w:rsid w:val="0002640F"/>
    <w:rsid w:val="0010515C"/>
    <w:rsid w:val="001A4F8D"/>
    <w:rsid w:val="009911C7"/>
    <w:rsid w:val="00BF6994"/>
    <w:rsid w:val="00C74E36"/>
    <w:rsid w:val="00D067F6"/>
    <w:rsid w:val="00E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227BF"/>
  <w15:docId w15:val="{DC4628C1-0F22-466B-B068-5BEE3B12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0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C16A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16A5F"/>
    <w:rPr>
      <w:rFonts w:ascii="Segoe UI" w:hAnsi="Segoe UI" w:cs="Segoe UI"/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C16A5F"/>
    <w:rPr>
      <w:b/>
      <w:bCs/>
    </w:rPr>
  </w:style>
  <w:style w:type="character" w:customStyle="1" w:styleId="ab">
    <w:name w:val="Тема примітки Знак"/>
    <w:basedOn w:val="a6"/>
    <w:link w:val="aa"/>
    <w:uiPriority w:val="99"/>
    <w:semiHidden/>
    <w:rsid w:val="00C16A5F"/>
    <w:rPr>
      <w:b/>
      <w:bCs/>
      <w:sz w:val="20"/>
      <w:szCs w:val="20"/>
    </w:rPr>
  </w:style>
  <w:style w:type="character" w:styleId="ac">
    <w:name w:val="Placeholder Text"/>
    <w:basedOn w:val="a0"/>
    <w:uiPriority w:val="99"/>
    <w:semiHidden/>
    <w:rsid w:val="00926B01"/>
    <w:rPr>
      <w:color w:val="808080"/>
    </w:rPr>
  </w:style>
  <w:style w:type="paragraph" w:styleId="ad">
    <w:name w:val="List Paragraph"/>
    <w:basedOn w:val="a"/>
    <w:uiPriority w:val="34"/>
    <w:qFormat/>
    <w:rsid w:val="002B1FAF"/>
    <w:pPr>
      <w:ind w:left="720"/>
      <w:contextualSpacing/>
    </w:p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70-20" TargetMode="External"/><Relationship Id="rId13" Type="http://schemas.openxmlformats.org/officeDocument/2006/relationships/hyperlink" Target="https://zakon.rada.gov.ua/laws/show/607-2019-%D0%BF" TargetMode="External"/><Relationship Id="rId18" Type="http://schemas.openxmlformats.org/officeDocument/2006/relationships/hyperlink" Target="https://zakon.rada.gov.ua/laws/show/607-2019-%D0%BF" TargetMode="External"/><Relationship Id="rId26" Type="http://schemas.openxmlformats.org/officeDocument/2006/relationships/hyperlink" Target="https://zakon.rada.gov.ua/laws/show/870-20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zakon.rada.gov.ua/laws/show/870-20" TargetMode="External"/><Relationship Id="rId7" Type="http://schemas.openxmlformats.org/officeDocument/2006/relationships/hyperlink" Target="https://zakon.rada.gov.ua/laws/show/870-20" TargetMode="External"/><Relationship Id="rId12" Type="http://schemas.openxmlformats.org/officeDocument/2006/relationships/hyperlink" Target="https://zakon.rada.gov.ua/laws/show/174-94-%D0%BF" TargetMode="External"/><Relationship Id="rId17" Type="http://schemas.openxmlformats.org/officeDocument/2006/relationships/hyperlink" Target="https://zakon.rada.gov.ua/laws/show/607-2019-%D0%BF" TargetMode="External"/><Relationship Id="rId25" Type="http://schemas.openxmlformats.org/officeDocument/2006/relationships/hyperlink" Target="https://zakon.rada.gov.ua/laws/show/870-2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607-2019-%D0%BF" TargetMode="External"/><Relationship Id="rId20" Type="http://schemas.openxmlformats.org/officeDocument/2006/relationships/hyperlink" Target="https://zakon.rada.gov.ua/laws/show/607-2019-%D0%B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174-94-%D0%BF" TargetMode="External"/><Relationship Id="rId24" Type="http://schemas.openxmlformats.org/officeDocument/2006/relationships/hyperlink" Target="https://zakon.rada.gov.ua/laws/show/870-2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607-2019-%D0%BF" TargetMode="External"/><Relationship Id="rId23" Type="http://schemas.openxmlformats.org/officeDocument/2006/relationships/hyperlink" Target="https://zakon.rada.gov.ua/laws/show/870-20" TargetMode="External"/><Relationship Id="rId28" Type="http://schemas.openxmlformats.org/officeDocument/2006/relationships/hyperlink" Target="https://zakon.rada.gov.ua/laws/show/870-20" TargetMode="External"/><Relationship Id="rId10" Type="http://schemas.openxmlformats.org/officeDocument/2006/relationships/hyperlink" Target="https://zakon.rada.gov.ua/laws/show/870-20" TargetMode="External"/><Relationship Id="rId19" Type="http://schemas.openxmlformats.org/officeDocument/2006/relationships/hyperlink" Target="https://zakon.rada.gov.ua/laws/show/607-2019-%D0%BF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870-20" TargetMode="External"/><Relationship Id="rId14" Type="http://schemas.openxmlformats.org/officeDocument/2006/relationships/hyperlink" Target="https://zakon.rada.gov.ua/laws/show/607-2019-%D0%BF" TargetMode="External"/><Relationship Id="rId22" Type="http://schemas.openxmlformats.org/officeDocument/2006/relationships/hyperlink" Target="https://zakon.rada.gov.ua/laws/show/870-20" TargetMode="External"/><Relationship Id="rId27" Type="http://schemas.openxmlformats.org/officeDocument/2006/relationships/hyperlink" Target="https://zakon.rada.gov.ua/laws/show/870-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8NSY3OVr1hvw/DMwlAa2horb2Q==">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F282C21-C7D2-4D23-A988-7E0E1FED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29135</Words>
  <Characters>16607</Characters>
  <Application>Microsoft Office Word</Application>
  <DocSecurity>0</DocSecurity>
  <Lines>138</Lines>
  <Paragraphs>91</Paragraphs>
  <ScaleCrop>false</ScaleCrop>
  <Company/>
  <LinksUpToDate>false</LinksUpToDate>
  <CharactersWithSpaces>45651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Prylutska I.A</dc:creator>
  <cp:lastModifiedBy>Prylutska I.A</cp:lastModifiedBy>
  <cp:revision>8</cp:revision>
  <dcterms:created xsi:type="dcterms:W3CDTF">2021-09-17T07:24:00Z</dcterms:created>
  <dcterms:modified xsi:type="dcterms:W3CDTF">2021-10-20T08:05:00Z</dcterms:modified>
</cp:coreProperties>
</file>