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CA64" w14:textId="77777777" w:rsidR="00CF622C" w:rsidRPr="00791D90" w:rsidRDefault="00760EF0" w:rsidP="00760EF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1D90">
        <w:rPr>
          <w:rFonts w:ascii="Times New Roman" w:hAnsi="Times New Roman" w:cs="Times New Roman"/>
          <w:b/>
          <w:i/>
          <w:iCs/>
          <w:sz w:val="28"/>
          <w:szCs w:val="28"/>
        </w:rPr>
        <w:t>Пашков Віталій Михайлович</w:t>
      </w:r>
    </w:p>
    <w:p w14:paraId="1FA509A4" w14:textId="77777777" w:rsidR="00760EF0" w:rsidRPr="00791D90" w:rsidRDefault="00760EF0" w:rsidP="00760EF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1D90">
        <w:rPr>
          <w:rFonts w:ascii="Times New Roman" w:hAnsi="Times New Roman" w:cs="Times New Roman"/>
          <w:i/>
          <w:iCs/>
          <w:sz w:val="28"/>
          <w:szCs w:val="28"/>
        </w:rPr>
        <w:t>доктор юридичних наук, професор, завідувач лабораторії проблем національної безпеки у сфері громадського здоров'я НДІ вивчення проблем злочинності імені В.В. Сташиса НАПрН України</w:t>
      </w:r>
    </w:p>
    <w:p w14:paraId="196F8B9B" w14:textId="7951887B" w:rsidR="00760EF0" w:rsidRDefault="00760EF0" w:rsidP="00760EF0">
      <w:pPr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i/>
          <w:iCs/>
          <w:color w:val="000000"/>
          <w:spacing w:val="8"/>
          <w:sz w:val="28"/>
          <w:szCs w:val="28"/>
          <w:shd w:val="clear" w:color="auto" w:fill="FFFFFF"/>
        </w:rPr>
      </w:pPr>
      <w:r w:rsidRPr="00791D90">
        <w:rPr>
          <w:rStyle w:val="a3"/>
          <w:rFonts w:ascii="Times New Roman" w:hAnsi="Times New Roman" w:cs="Times New Roman"/>
          <w:color w:val="1C1C1C"/>
          <w:sz w:val="28"/>
          <w:szCs w:val="28"/>
          <w:shd w:val="clear" w:color="auto" w:fill="F8F8F4"/>
        </w:rPr>
        <w:t>ORCID:</w:t>
      </w:r>
      <w:r w:rsidRPr="00791D90">
        <w:rPr>
          <w:rStyle w:val="a3"/>
          <w:rFonts w:ascii="Arial" w:hAnsi="Arial" w:cs="Arial"/>
          <w:color w:val="000000"/>
          <w:spacing w:val="8"/>
          <w:sz w:val="36"/>
          <w:szCs w:val="36"/>
          <w:shd w:val="clear" w:color="auto" w:fill="FFFFFF"/>
        </w:rPr>
        <w:t xml:space="preserve"> </w:t>
      </w:r>
      <w:r w:rsidRPr="00791D90">
        <w:rPr>
          <w:rStyle w:val="a4"/>
          <w:rFonts w:ascii="Times New Roman" w:hAnsi="Times New Roman" w:cs="Times New Roman"/>
          <w:b w:val="0"/>
          <w:i/>
          <w:iCs/>
          <w:color w:val="000000"/>
          <w:spacing w:val="8"/>
          <w:sz w:val="28"/>
          <w:szCs w:val="28"/>
          <w:shd w:val="clear" w:color="auto" w:fill="FFFFFF"/>
        </w:rPr>
        <w:t>0000-0001-9489-7768</w:t>
      </w:r>
    </w:p>
    <w:p w14:paraId="47EDBF35" w14:textId="77777777" w:rsidR="00791D90" w:rsidRPr="00791D90" w:rsidRDefault="00791D90" w:rsidP="00760EF0">
      <w:pPr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i/>
          <w:iCs/>
          <w:color w:val="000000"/>
          <w:spacing w:val="8"/>
          <w:sz w:val="28"/>
          <w:szCs w:val="28"/>
          <w:shd w:val="clear" w:color="auto" w:fill="FFFFFF"/>
        </w:rPr>
      </w:pPr>
    </w:p>
    <w:p w14:paraId="674B8788" w14:textId="60DF37E9" w:rsidR="00760EF0" w:rsidRDefault="00A02EE3" w:rsidP="00760EF0">
      <w:pPr>
        <w:spacing w:after="0" w:line="360" w:lineRule="auto"/>
        <w:jc w:val="center"/>
        <w:rPr>
          <w:rStyle w:val="a4"/>
          <w:rFonts w:ascii="Times New Roman" w:hAnsi="Times New Roman" w:cs="Times New Roman"/>
          <w:i/>
          <w:iCs/>
          <w:color w:val="000000"/>
          <w:spacing w:val="8"/>
          <w:sz w:val="28"/>
          <w:szCs w:val="28"/>
          <w:shd w:val="clear" w:color="auto" w:fill="FFFFFF"/>
        </w:rPr>
      </w:pPr>
      <w:r w:rsidRPr="00791D90">
        <w:rPr>
          <w:rStyle w:val="a4"/>
          <w:rFonts w:ascii="Times New Roman" w:hAnsi="Times New Roman" w:cs="Times New Roman"/>
          <w:i/>
          <w:iCs/>
          <w:color w:val="000000"/>
          <w:spacing w:val="8"/>
          <w:sz w:val="28"/>
          <w:szCs w:val="28"/>
          <w:shd w:val="clear" w:color="auto" w:fill="FFFFFF"/>
        </w:rPr>
        <w:t>ОНЛАЙН ТОРГІВЛЯ ЛІКАРСЬКИМИ ЗАСОБАМИ В ОСОБЛИВИЙ ПРАВОВИЙ ПЕРІОД</w:t>
      </w:r>
    </w:p>
    <w:p w14:paraId="6E70D2BD" w14:textId="77777777" w:rsidR="00791D90" w:rsidRPr="00791D90" w:rsidRDefault="00791D90" w:rsidP="00760EF0">
      <w:pPr>
        <w:spacing w:after="0" w:line="360" w:lineRule="auto"/>
        <w:jc w:val="center"/>
        <w:rPr>
          <w:rStyle w:val="a4"/>
          <w:rFonts w:ascii="Times New Roman" w:hAnsi="Times New Roman" w:cs="Times New Roman"/>
          <w:i/>
          <w:iCs/>
          <w:color w:val="000000"/>
          <w:spacing w:val="8"/>
          <w:sz w:val="28"/>
          <w:szCs w:val="28"/>
          <w:shd w:val="clear" w:color="auto" w:fill="FFFFFF"/>
        </w:rPr>
      </w:pPr>
    </w:p>
    <w:p w14:paraId="579B5E85" w14:textId="77777777" w:rsidR="007F1173" w:rsidRPr="00F84C85" w:rsidRDefault="004B7EF2" w:rsidP="00A0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85">
        <w:rPr>
          <w:rFonts w:ascii="Times New Roman" w:hAnsi="Times New Roman" w:cs="Times New Roman"/>
          <w:sz w:val="24"/>
          <w:szCs w:val="24"/>
        </w:rPr>
        <w:t>В умовах особливого правового періоду в Україні як засіб доступності лікарських засобів для населення активно впроваджується онлайн торгівля лікарськими засобами. При цьому, в</w:t>
      </w:r>
      <w:r w:rsidR="00A02EE3" w:rsidRPr="00F84C85">
        <w:rPr>
          <w:rFonts w:ascii="Times New Roman" w:hAnsi="Times New Roman" w:cs="Times New Roman"/>
          <w:sz w:val="24"/>
          <w:szCs w:val="24"/>
        </w:rPr>
        <w:t xml:space="preserve"> окремих країнах вже апробовані механізми регулювання дистанційного продажу як форми поширення лікарських засобів, які більш-менш ефективно використовуються протягом досить тривалого часу. </w:t>
      </w:r>
      <w:r w:rsidRPr="00F84C85">
        <w:rPr>
          <w:rFonts w:ascii="Times New Roman" w:hAnsi="Times New Roman" w:cs="Times New Roman"/>
          <w:sz w:val="24"/>
          <w:szCs w:val="24"/>
        </w:rPr>
        <w:t xml:space="preserve">Однак, </w:t>
      </w:r>
      <w:r w:rsidR="00A02EE3" w:rsidRPr="00F84C85">
        <w:rPr>
          <w:rFonts w:ascii="Times New Roman" w:hAnsi="Times New Roman" w:cs="Times New Roman"/>
          <w:sz w:val="24"/>
          <w:szCs w:val="24"/>
        </w:rPr>
        <w:t>поки що переважаючим у кількісному відношенні підходом компетентних органів деяких країн, у тому числі України, можна назвати підхід, при якому встановлено ряд обмежень щодо дистанційного продажу лікарських засобів.</w:t>
      </w:r>
      <w:r w:rsidRPr="00F84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606A7" w14:textId="30B1B0CF" w:rsidR="00F84C85" w:rsidRDefault="00F84C85" w:rsidP="00A0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C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Ключові слова: </w:t>
      </w:r>
      <w:r w:rsidRPr="00F84C85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 торгівля лікарськими засобами, фальсифіковані ліки, дистанційний продаж.</w:t>
      </w:r>
    </w:p>
    <w:p w14:paraId="2BD8CD8B" w14:textId="77777777" w:rsidR="00791D90" w:rsidRPr="00F84C85" w:rsidRDefault="00791D90" w:rsidP="00A0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BA3BE9" w14:textId="77777777" w:rsidR="007C1CA8" w:rsidRPr="00791D90" w:rsidRDefault="007C1CA8" w:rsidP="00791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uk-UA"/>
        </w:rPr>
      </w:pPr>
      <w:r w:rsidRPr="00791D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uk-UA"/>
        </w:rPr>
        <w:t>Pashkov Vitalii</w:t>
      </w:r>
      <w:r w:rsidR="00F84C85" w:rsidRPr="00791D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uk-UA"/>
        </w:rPr>
        <w:t xml:space="preserve"> Mykhaylovych</w:t>
      </w:r>
    </w:p>
    <w:p w14:paraId="6199549A" w14:textId="77777777" w:rsidR="007C1CA8" w:rsidRPr="00791D90" w:rsidRDefault="007C1CA8" w:rsidP="00791D9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791D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Doctor of Law, Professor, Head of the Laboratory of National Security Problems in the Field of Public Health of the Research Institute of Crime Problems named after V.V. Stashys </w:t>
      </w:r>
      <w:r w:rsidR="002B7F62" w:rsidRPr="00791D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National Academy of Legal Sciences</w:t>
      </w:r>
      <w:r w:rsidRPr="00791D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of Ukraine</w:t>
      </w:r>
    </w:p>
    <w:p w14:paraId="524F74A1" w14:textId="1B6BE951" w:rsidR="00F84C85" w:rsidRDefault="007C1CA8" w:rsidP="00791D9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791D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ORCID: 0000-0001-9489-7768</w:t>
      </w:r>
    </w:p>
    <w:p w14:paraId="15E2966E" w14:textId="77777777" w:rsidR="00791D90" w:rsidRPr="00791D90" w:rsidRDefault="00791D90" w:rsidP="00791D9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</w:p>
    <w:p w14:paraId="4D3A38C7" w14:textId="5F123506" w:rsidR="00ED0063" w:rsidRPr="00791D90" w:rsidRDefault="00ED0063" w:rsidP="00791D9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en-US"/>
        </w:rPr>
      </w:pPr>
      <w:r w:rsidRPr="00791D9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en-US"/>
        </w:rPr>
        <w:t>ONLINE TRADE IN MEDICINES DURING A SPECIAL LEGAL PERIOD</w:t>
      </w:r>
    </w:p>
    <w:p w14:paraId="58890404" w14:textId="77777777" w:rsidR="00791D90" w:rsidRDefault="00791D90" w:rsidP="007C1C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14:paraId="4DA10089" w14:textId="77777777" w:rsidR="00ED0063" w:rsidRPr="00ED0063" w:rsidRDefault="00ED0063" w:rsidP="00ED0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D00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 the conditions of the special legal period in Ukraine as a means of availability of medicines for the population online trade in medicines is actively introduced. At the same time, in some countries mechanisms for regulating distance selling as a form of distribution of medicines, which are more or less effectively used for a long time, have already been tested. However, so far </w:t>
      </w:r>
      <w:r w:rsidRPr="00ED00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the quantitative approach of the competent authorities of some countries, including Ukraine, can be called the approach, which imposes a number of restrictions on the distance sale of medicines.</w:t>
      </w:r>
    </w:p>
    <w:p w14:paraId="349E643B" w14:textId="06CD3D15" w:rsidR="00ED0063" w:rsidRDefault="00ED0063" w:rsidP="00ED0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D00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Key words:</w:t>
      </w:r>
      <w:r w:rsidRPr="00ED006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ED00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online trade in medicines, counterfeit medicines, distance selling.</w:t>
      </w:r>
    </w:p>
    <w:p w14:paraId="0AAD0687" w14:textId="77777777" w:rsidR="00791D90" w:rsidRPr="00ED0063" w:rsidRDefault="00791D90" w:rsidP="00ED0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3B780AD1" w14:textId="77777777" w:rsidR="004B7EF2" w:rsidRDefault="004B7EF2" w:rsidP="00A0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EF2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7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тому, що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r w:rsidRPr="004B7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торгівлею лікарськими засобами займається дуже багато нелегітимних суб’єктів, </w:t>
      </w:r>
      <w:r w:rsidR="007F1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не мають ніяких дозволів на </w:t>
      </w:r>
      <w:r w:rsidRPr="004B7EF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провадження діяльності і торгують товаром невідомого походження і якості.</w:t>
      </w:r>
    </w:p>
    <w:p w14:paraId="0743D689" w14:textId="77777777" w:rsidR="007F1173" w:rsidRDefault="007F1173" w:rsidP="007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одного боку це є виправданим, з метою обмеження розповсюдження фальсифікованих ліків, з іншого, </w:t>
      </w:r>
      <w:r w:rsidR="00F84C85">
        <w:rPr>
          <w:rFonts w:ascii="Times New Roman" w:hAnsi="Times New Roman" w:cs="Times New Roman"/>
          <w:sz w:val="28"/>
          <w:szCs w:val="28"/>
        </w:rPr>
        <w:t xml:space="preserve">в розвинутих країнах, </w:t>
      </w:r>
      <w:r>
        <w:rPr>
          <w:rFonts w:ascii="Times New Roman" w:hAnsi="Times New Roman" w:cs="Times New Roman"/>
          <w:sz w:val="28"/>
          <w:szCs w:val="28"/>
        </w:rPr>
        <w:t>вартість ліків, що реалізується через Інтернет аптеки значне нижче</w:t>
      </w:r>
      <w:r w:rsidR="00F84C85">
        <w:rPr>
          <w:rFonts w:ascii="Times New Roman" w:hAnsi="Times New Roman" w:cs="Times New Roman"/>
          <w:sz w:val="28"/>
          <w:szCs w:val="28"/>
        </w:rPr>
        <w:t xml:space="preserve"> ніж в аптечних закладах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89FABE" w14:textId="1AFFE2E4" w:rsidR="00F84C85" w:rsidRPr="00F84C85" w:rsidRDefault="00F84C85" w:rsidP="00F84C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84C85">
        <w:rPr>
          <w:sz w:val="28"/>
          <w:szCs w:val="28"/>
        </w:rPr>
        <w:t>им часом, за оцінкою ВООЗ, поширення підр</w:t>
      </w:r>
      <w:r w:rsidR="005B49D3">
        <w:rPr>
          <w:sz w:val="28"/>
          <w:szCs w:val="28"/>
        </w:rPr>
        <w:t>облених ліків через нелегальні І</w:t>
      </w:r>
      <w:r w:rsidRPr="00F84C85">
        <w:rPr>
          <w:sz w:val="28"/>
          <w:szCs w:val="28"/>
        </w:rPr>
        <w:t>нтернет</w:t>
      </w:r>
      <w:r w:rsidR="005B49D3">
        <w:rPr>
          <w:sz w:val="28"/>
          <w:szCs w:val="28"/>
        </w:rPr>
        <w:t xml:space="preserve"> – </w:t>
      </w:r>
      <w:r w:rsidRPr="00F84C85">
        <w:rPr>
          <w:sz w:val="28"/>
          <w:szCs w:val="28"/>
        </w:rPr>
        <w:t>аптеки становить приблизно 50%</w:t>
      </w:r>
      <w:r w:rsidR="007F79ED">
        <w:rPr>
          <w:sz w:val="28"/>
          <w:szCs w:val="28"/>
        </w:rPr>
        <w:t xml:space="preserve"> </w:t>
      </w:r>
      <w:r w:rsidR="007F79ED" w:rsidRPr="007F79ED">
        <w:rPr>
          <w:sz w:val="28"/>
          <w:szCs w:val="28"/>
          <w:lang w:val="ru-RU"/>
        </w:rPr>
        <w:t>[1]</w:t>
      </w:r>
      <w:r w:rsidRPr="00F84C85">
        <w:rPr>
          <w:sz w:val="28"/>
          <w:szCs w:val="28"/>
        </w:rPr>
        <w:t>. При цьому пацієнти не обізнані про потенційну небезпеку, по</w:t>
      </w:r>
      <w:r w:rsidR="005B49D3">
        <w:rPr>
          <w:sz w:val="28"/>
          <w:szCs w:val="28"/>
        </w:rPr>
        <w:t>в’язану з купівлею ліків через І</w:t>
      </w:r>
      <w:r w:rsidRPr="00F84C85">
        <w:rPr>
          <w:sz w:val="28"/>
          <w:szCs w:val="28"/>
        </w:rPr>
        <w:t>нтернет</w:t>
      </w:r>
      <w:r w:rsidR="00791D90">
        <w:rPr>
          <w:sz w:val="28"/>
          <w:szCs w:val="28"/>
          <w:lang w:val="en-US"/>
        </w:rPr>
        <w:t> </w:t>
      </w:r>
      <w:r w:rsidR="005B49D3">
        <w:rPr>
          <w:sz w:val="28"/>
          <w:szCs w:val="28"/>
        </w:rPr>
        <w:t>–</w:t>
      </w:r>
      <w:r w:rsidR="007F79ED" w:rsidRPr="007F79ED">
        <w:rPr>
          <w:sz w:val="28"/>
          <w:szCs w:val="28"/>
        </w:rPr>
        <w:t xml:space="preserve"> </w:t>
      </w:r>
      <w:r w:rsidRPr="00F84C85">
        <w:rPr>
          <w:sz w:val="28"/>
          <w:szCs w:val="28"/>
        </w:rPr>
        <w:t xml:space="preserve">аптеки, і не можуть розрізняти легальні та нелегальні </w:t>
      </w:r>
      <w:r w:rsidR="005B49D3">
        <w:rPr>
          <w:sz w:val="28"/>
          <w:szCs w:val="28"/>
        </w:rPr>
        <w:t>заклади</w:t>
      </w:r>
      <w:r w:rsidRPr="00F84C85">
        <w:rPr>
          <w:sz w:val="28"/>
          <w:szCs w:val="28"/>
        </w:rPr>
        <w:t>.</w:t>
      </w:r>
    </w:p>
    <w:p w14:paraId="586534F9" w14:textId="77777777" w:rsidR="00F84C85" w:rsidRPr="00F84C85" w:rsidRDefault="00F84C85" w:rsidP="00F84C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C85">
        <w:rPr>
          <w:sz w:val="28"/>
          <w:szCs w:val="28"/>
        </w:rPr>
        <w:t>Інтернет</w:t>
      </w:r>
      <w:r w:rsidR="005B49D3">
        <w:rPr>
          <w:sz w:val="28"/>
          <w:szCs w:val="28"/>
        </w:rPr>
        <w:t xml:space="preserve"> – </w:t>
      </w:r>
      <w:r w:rsidRPr="00F84C85">
        <w:rPr>
          <w:sz w:val="28"/>
          <w:szCs w:val="28"/>
        </w:rPr>
        <w:t>аптеки почали виникати ще нап</w:t>
      </w:r>
      <w:r w:rsidR="005B49D3">
        <w:rPr>
          <w:sz w:val="28"/>
          <w:szCs w:val="28"/>
        </w:rPr>
        <w:t xml:space="preserve">рикінці 1990-х років. Станом на </w:t>
      </w:r>
      <w:r w:rsidRPr="00F84C85">
        <w:rPr>
          <w:sz w:val="28"/>
          <w:szCs w:val="28"/>
        </w:rPr>
        <w:t xml:space="preserve">2020 р. світовий ринок </w:t>
      </w:r>
      <w:r w:rsidR="005B49D3">
        <w:rPr>
          <w:sz w:val="28"/>
          <w:szCs w:val="28"/>
        </w:rPr>
        <w:t>І</w:t>
      </w:r>
      <w:r w:rsidRPr="00F84C85">
        <w:rPr>
          <w:sz w:val="28"/>
          <w:szCs w:val="28"/>
        </w:rPr>
        <w:t>нтернет</w:t>
      </w:r>
      <w:r w:rsidR="005B49D3">
        <w:rPr>
          <w:sz w:val="28"/>
          <w:szCs w:val="28"/>
        </w:rPr>
        <w:t xml:space="preserve"> – </w:t>
      </w:r>
      <w:r w:rsidRPr="00F84C85">
        <w:rPr>
          <w:sz w:val="28"/>
          <w:szCs w:val="28"/>
        </w:rPr>
        <w:t xml:space="preserve">аптек, за інформацією фахівців з кібернетичної </w:t>
      </w:r>
      <w:r w:rsidR="005B49D3">
        <w:rPr>
          <w:sz w:val="28"/>
          <w:szCs w:val="28"/>
        </w:rPr>
        <w:t xml:space="preserve">безпеки, оцінюється приблизно в </w:t>
      </w:r>
      <w:r w:rsidRPr="00F84C85">
        <w:rPr>
          <w:sz w:val="28"/>
          <w:szCs w:val="28"/>
        </w:rPr>
        <w:t>68,2 млрд. дол. США, і, за прогнозами, до 2027 р. він може зрости до 202,2 млрд. дол.</w:t>
      </w:r>
      <w:r w:rsidR="007F79ED" w:rsidRPr="007F79ED">
        <w:rPr>
          <w:sz w:val="28"/>
          <w:szCs w:val="28"/>
          <w:lang w:val="ru-RU"/>
        </w:rPr>
        <w:t xml:space="preserve"> [2] </w:t>
      </w:r>
      <w:r w:rsidRPr="00F84C85">
        <w:rPr>
          <w:sz w:val="28"/>
          <w:szCs w:val="28"/>
        </w:rPr>
        <w:t>Це свідчить про те, що технології, пов’язані зі здоров’ям, зазнають еволюції, зумовленої цифровізацією системи охорони здоро</w:t>
      </w:r>
      <w:r w:rsidR="007F79ED">
        <w:rPr>
          <w:sz w:val="28"/>
          <w:szCs w:val="28"/>
        </w:rPr>
        <w:t>в’я та поширенням використання І</w:t>
      </w:r>
      <w:r w:rsidRPr="00F84C85">
        <w:rPr>
          <w:sz w:val="28"/>
          <w:szCs w:val="28"/>
        </w:rPr>
        <w:t>нтернету у повсякденному житті.</w:t>
      </w:r>
    </w:p>
    <w:p w14:paraId="3DAE0827" w14:textId="77777777" w:rsidR="00F84C85" w:rsidRPr="00F84C85" w:rsidRDefault="00F84C85" w:rsidP="00F84C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C85">
        <w:rPr>
          <w:sz w:val="28"/>
          <w:szCs w:val="28"/>
        </w:rPr>
        <w:t xml:space="preserve">Цифрові форми фармацевтичного маркетингу, орієнтованого безпосередньо </w:t>
      </w:r>
      <w:r w:rsidR="007F79ED">
        <w:rPr>
          <w:sz w:val="28"/>
          <w:szCs w:val="28"/>
        </w:rPr>
        <w:t xml:space="preserve">на споживача, глобалізувалися в </w:t>
      </w:r>
      <w:r w:rsidRPr="00F84C85">
        <w:rPr>
          <w:sz w:val="28"/>
          <w:szCs w:val="28"/>
        </w:rPr>
        <w:t>епоху вільного та відкритого обміну інформацією</w:t>
      </w:r>
      <w:r w:rsidR="007F79ED">
        <w:rPr>
          <w:sz w:val="28"/>
          <w:szCs w:val="28"/>
        </w:rPr>
        <w:t xml:space="preserve"> </w:t>
      </w:r>
      <w:r w:rsidR="007F79ED" w:rsidRPr="00E118E7">
        <w:rPr>
          <w:sz w:val="28"/>
          <w:szCs w:val="28"/>
        </w:rPr>
        <w:t>[3]</w:t>
      </w:r>
      <w:r w:rsidRPr="00F84C85">
        <w:rPr>
          <w:sz w:val="28"/>
          <w:szCs w:val="28"/>
        </w:rPr>
        <w:t>. Деякі дослідники погоджуються з тим, що новий напрямок фармацевтичних послуг, пов’язаний</w:t>
      </w:r>
      <w:r w:rsidR="005B49D3">
        <w:rPr>
          <w:sz w:val="28"/>
          <w:szCs w:val="28"/>
        </w:rPr>
        <w:t xml:space="preserve"> з цифровізацією, пропонованих І</w:t>
      </w:r>
      <w:r w:rsidRPr="00F84C85">
        <w:rPr>
          <w:sz w:val="28"/>
          <w:szCs w:val="28"/>
        </w:rPr>
        <w:t>нтернет</w:t>
      </w:r>
      <w:r w:rsidR="005B49D3">
        <w:rPr>
          <w:sz w:val="28"/>
          <w:szCs w:val="28"/>
        </w:rPr>
        <w:t xml:space="preserve"> – </w:t>
      </w:r>
      <w:r w:rsidRPr="00F84C85">
        <w:rPr>
          <w:sz w:val="28"/>
          <w:szCs w:val="28"/>
        </w:rPr>
        <w:t>аптеками, є дуже привабливим для більшості пацієнтів, особливо з обмеженими фізичними можливостями</w:t>
      </w:r>
      <w:r w:rsidR="00E118E7" w:rsidRPr="00E118E7">
        <w:rPr>
          <w:sz w:val="28"/>
          <w:szCs w:val="28"/>
        </w:rPr>
        <w:t xml:space="preserve"> [4]</w:t>
      </w:r>
      <w:r w:rsidRPr="00F84C85">
        <w:rPr>
          <w:sz w:val="28"/>
          <w:szCs w:val="28"/>
        </w:rPr>
        <w:t>. Це і можливість он-лайн-замовлень протягом 24 год</w:t>
      </w:r>
      <w:r w:rsidR="005B49D3">
        <w:rPr>
          <w:sz w:val="28"/>
          <w:szCs w:val="28"/>
        </w:rPr>
        <w:t>ин</w:t>
      </w:r>
      <w:r w:rsidRPr="00F84C85">
        <w:rPr>
          <w:sz w:val="28"/>
          <w:szCs w:val="28"/>
        </w:rPr>
        <w:t>, і економічна доступність більшості найменувань фармацевтичної продукції та питання конфіденційності. Наприклад, в</w:t>
      </w:r>
      <w:r w:rsidR="005B49D3">
        <w:rPr>
          <w:sz w:val="28"/>
          <w:szCs w:val="28"/>
        </w:rPr>
        <w:t xml:space="preserve"> Інтернет – </w:t>
      </w:r>
      <w:r w:rsidRPr="00F84C85">
        <w:rPr>
          <w:sz w:val="28"/>
          <w:szCs w:val="28"/>
        </w:rPr>
        <w:t>аптеках спос</w:t>
      </w:r>
      <w:r w:rsidR="005B49D3">
        <w:rPr>
          <w:sz w:val="28"/>
          <w:szCs w:val="28"/>
        </w:rPr>
        <w:t>терігається підвищений попит на</w:t>
      </w:r>
      <w:r w:rsidR="005B49D3" w:rsidRPr="005B49D3">
        <w:rPr>
          <w:sz w:val="28"/>
          <w:szCs w:val="28"/>
          <w:lang w:val="ru-RU"/>
        </w:rPr>
        <w:t xml:space="preserve"> </w:t>
      </w:r>
      <w:r w:rsidRPr="00F84C85">
        <w:rPr>
          <w:sz w:val="28"/>
          <w:szCs w:val="28"/>
        </w:rPr>
        <w:t>протизаплідні засоби</w:t>
      </w:r>
      <w:r w:rsidR="00E118E7">
        <w:rPr>
          <w:sz w:val="28"/>
          <w:szCs w:val="28"/>
          <w:lang w:val="ru-RU"/>
        </w:rPr>
        <w:t xml:space="preserve"> </w:t>
      </w:r>
      <w:r w:rsidR="00E118E7" w:rsidRPr="00E118E7">
        <w:rPr>
          <w:sz w:val="28"/>
          <w:szCs w:val="28"/>
          <w:lang w:val="ru-RU"/>
        </w:rPr>
        <w:t>[5]</w:t>
      </w:r>
      <w:r w:rsidRPr="00F84C85">
        <w:rPr>
          <w:sz w:val="28"/>
          <w:szCs w:val="28"/>
        </w:rPr>
        <w:t xml:space="preserve">. Однак </w:t>
      </w:r>
      <w:r w:rsidR="005B49D3">
        <w:rPr>
          <w:sz w:val="28"/>
          <w:szCs w:val="28"/>
        </w:rPr>
        <w:t>І</w:t>
      </w:r>
      <w:r w:rsidRPr="00F84C85">
        <w:rPr>
          <w:sz w:val="28"/>
          <w:szCs w:val="28"/>
        </w:rPr>
        <w:t xml:space="preserve">нтернет відрізняється від інших засобів </w:t>
      </w:r>
      <w:r w:rsidR="005B49D3">
        <w:rPr>
          <w:sz w:val="28"/>
          <w:szCs w:val="28"/>
        </w:rPr>
        <w:t xml:space="preserve">масової інформації, принаймні в </w:t>
      </w:r>
      <w:r w:rsidRPr="00F84C85">
        <w:rPr>
          <w:sz w:val="28"/>
          <w:szCs w:val="28"/>
        </w:rPr>
        <w:lastRenderedPageBreak/>
        <w:t>одному важливому відношенні: він дозволяє покупцям з усього світу здійснювати покупки з відносною анонімністю на цілодобовому торговому майданчику</w:t>
      </w:r>
      <w:r w:rsidR="00F21791" w:rsidRPr="00F21791">
        <w:rPr>
          <w:sz w:val="28"/>
          <w:szCs w:val="28"/>
        </w:rPr>
        <w:t xml:space="preserve"> [6]</w:t>
      </w:r>
      <w:r w:rsidRPr="00F84C85">
        <w:rPr>
          <w:sz w:val="28"/>
          <w:szCs w:val="28"/>
        </w:rPr>
        <w:t>.</w:t>
      </w:r>
    </w:p>
    <w:p w14:paraId="587B95E3" w14:textId="77777777" w:rsidR="00F84C85" w:rsidRPr="00F84C85" w:rsidRDefault="005B49D3" w:rsidP="00F84C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Інтернет</w:t>
      </w:r>
      <w:r w:rsidRPr="005B49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аптеки </w:t>
      </w:r>
      <w:r w:rsidR="00F21791">
        <w:rPr>
          <w:sz w:val="28"/>
          <w:szCs w:val="28"/>
        </w:rPr>
        <w:t>це</w:t>
      </w:r>
      <w:r w:rsidR="00F84C85" w:rsidRPr="00F84C85">
        <w:rPr>
          <w:sz w:val="28"/>
          <w:szCs w:val="28"/>
        </w:rPr>
        <w:t xml:space="preserve"> важливе явище, яке продовжує поширюватися, незваж</w:t>
      </w:r>
      <w:r>
        <w:rPr>
          <w:sz w:val="28"/>
          <w:szCs w:val="28"/>
        </w:rPr>
        <w:t>аючи на</w:t>
      </w:r>
      <w:r w:rsidRPr="005B49D3">
        <w:rPr>
          <w:sz w:val="28"/>
          <w:szCs w:val="28"/>
        </w:rPr>
        <w:t xml:space="preserve"> </w:t>
      </w:r>
      <w:r w:rsidR="00F84C85" w:rsidRPr="00F84C85">
        <w:rPr>
          <w:sz w:val="28"/>
          <w:szCs w:val="28"/>
        </w:rPr>
        <w:t xml:space="preserve">часткове регулювання, внутрішні труднощі, пов’язані з невловимою та швидкоплинною природою </w:t>
      </w:r>
      <w:r>
        <w:rPr>
          <w:sz w:val="28"/>
          <w:szCs w:val="28"/>
        </w:rPr>
        <w:t>І</w:t>
      </w:r>
      <w:r w:rsidR="00F84C85" w:rsidRPr="00F84C85">
        <w:rPr>
          <w:sz w:val="28"/>
          <w:szCs w:val="28"/>
        </w:rPr>
        <w:t xml:space="preserve">нтернету та його глобальним виміром. Дуже складно оцінити кількість </w:t>
      </w:r>
      <w:r>
        <w:rPr>
          <w:sz w:val="28"/>
          <w:szCs w:val="28"/>
        </w:rPr>
        <w:t>І</w:t>
      </w:r>
      <w:r w:rsidR="00F84C85" w:rsidRPr="00F84C85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– </w:t>
      </w:r>
      <w:r w:rsidR="00F84C85" w:rsidRPr="00F84C85">
        <w:rPr>
          <w:sz w:val="28"/>
          <w:szCs w:val="28"/>
        </w:rPr>
        <w:t>аптек та людей, які здійснюють покупки в</w:t>
      </w:r>
      <w:r>
        <w:rPr>
          <w:sz w:val="28"/>
          <w:szCs w:val="28"/>
        </w:rPr>
        <w:t xml:space="preserve"> І</w:t>
      </w:r>
      <w:r w:rsidR="00F84C85" w:rsidRPr="00F84C85">
        <w:rPr>
          <w:sz w:val="28"/>
          <w:szCs w:val="28"/>
        </w:rPr>
        <w:t xml:space="preserve">нтернеті, обсяг проданих ліків, отримані від такого прихованого бізнесу прибутки. Крім того, географічне поширення явища здається дуже неоднорідним. Проте відомо, що нелегальні </w:t>
      </w:r>
      <w:r>
        <w:rPr>
          <w:sz w:val="28"/>
          <w:szCs w:val="28"/>
        </w:rPr>
        <w:t>І</w:t>
      </w:r>
      <w:r w:rsidR="00F84C85" w:rsidRPr="00F84C85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– </w:t>
      </w:r>
      <w:r w:rsidR="00F84C85" w:rsidRPr="00F84C85">
        <w:rPr>
          <w:sz w:val="28"/>
          <w:szCs w:val="28"/>
        </w:rPr>
        <w:t>аптеки переважають за чисельністю та рейтингом своїх законних колег та домінували на</w:t>
      </w:r>
      <w:r w:rsidR="005C69BB">
        <w:rPr>
          <w:sz w:val="28"/>
          <w:szCs w:val="28"/>
        </w:rPr>
        <w:t xml:space="preserve"> </w:t>
      </w:r>
      <w:r w:rsidR="00F84C85" w:rsidRPr="00F84C85">
        <w:rPr>
          <w:sz w:val="28"/>
          <w:szCs w:val="28"/>
        </w:rPr>
        <w:t>першій сторінці результатів пошукової системи. Наприклад, в</w:t>
      </w:r>
      <w:r w:rsidRPr="005B49D3">
        <w:rPr>
          <w:sz w:val="28"/>
          <w:szCs w:val="28"/>
          <w:lang w:val="ru-RU"/>
        </w:rPr>
        <w:t xml:space="preserve"> </w:t>
      </w:r>
      <w:r w:rsidR="00F84C85" w:rsidRPr="00F84C85">
        <w:rPr>
          <w:sz w:val="28"/>
          <w:szCs w:val="28"/>
        </w:rPr>
        <w:t xml:space="preserve">Угорщині переважна більшість (77,7%) виявлених </w:t>
      </w:r>
      <w:r>
        <w:rPr>
          <w:sz w:val="28"/>
          <w:szCs w:val="28"/>
        </w:rPr>
        <w:t>І</w:t>
      </w:r>
      <w:r w:rsidR="00F84C85" w:rsidRPr="00F84C85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– </w:t>
      </w:r>
      <w:r w:rsidR="00F84C85" w:rsidRPr="00F84C85">
        <w:rPr>
          <w:sz w:val="28"/>
          <w:szCs w:val="28"/>
        </w:rPr>
        <w:t>аптек були шахрайськими</w:t>
      </w:r>
      <w:r w:rsidR="005C69BB">
        <w:rPr>
          <w:sz w:val="28"/>
          <w:szCs w:val="28"/>
        </w:rPr>
        <w:t xml:space="preserve"> </w:t>
      </w:r>
      <w:r w:rsidR="005C69BB" w:rsidRPr="005C69BB">
        <w:rPr>
          <w:sz w:val="28"/>
          <w:szCs w:val="28"/>
          <w:lang w:val="ru-RU"/>
        </w:rPr>
        <w:t>[7]</w:t>
      </w:r>
      <w:r w:rsidR="00F84C85" w:rsidRPr="00F84C85">
        <w:rPr>
          <w:sz w:val="28"/>
          <w:szCs w:val="28"/>
        </w:rPr>
        <w:t>.</w:t>
      </w:r>
    </w:p>
    <w:p w14:paraId="1831F784" w14:textId="77777777" w:rsidR="005B49D3" w:rsidRPr="00B05329" w:rsidRDefault="00B05329" w:rsidP="00B053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Тобто ті, хто в </w:t>
      </w:r>
      <w:r w:rsidR="005B49D3" w:rsidRPr="00B05329">
        <w:rPr>
          <w:sz w:val="28"/>
          <w:szCs w:val="28"/>
        </w:rPr>
        <w:t>Україні створює перешкоди легальним суб’єктам аптечної діяльності, свідомо або несвідо</w:t>
      </w:r>
      <w:r w:rsidR="007F79ED">
        <w:rPr>
          <w:sz w:val="28"/>
          <w:szCs w:val="28"/>
        </w:rPr>
        <w:t xml:space="preserve">мо сприяють нелегітимній онлайн – </w:t>
      </w:r>
      <w:r w:rsidR="005B49D3" w:rsidRPr="00B05329">
        <w:rPr>
          <w:sz w:val="28"/>
          <w:szCs w:val="28"/>
        </w:rPr>
        <w:t>торгівлі ліками.</w:t>
      </w:r>
    </w:p>
    <w:p w14:paraId="4FF13275" w14:textId="77777777" w:rsidR="005B49D3" w:rsidRPr="00B05329" w:rsidRDefault="005B49D3" w:rsidP="00B053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329">
        <w:rPr>
          <w:sz w:val="28"/>
          <w:szCs w:val="28"/>
        </w:rPr>
        <w:t>Перед тим, як розглянути встановлені обмеження для легальних суб’єктів аптечної</w:t>
      </w:r>
      <w:r w:rsidR="00B05329">
        <w:rPr>
          <w:sz w:val="28"/>
          <w:szCs w:val="28"/>
        </w:rPr>
        <w:t xml:space="preserve"> діяльності, згадаємо акти ЄС з </w:t>
      </w:r>
      <w:r w:rsidRPr="00B05329">
        <w:rPr>
          <w:sz w:val="28"/>
          <w:szCs w:val="28"/>
        </w:rPr>
        <w:t>цього приводу. Мова йде про</w:t>
      </w:r>
      <w:r w:rsidR="00B05329">
        <w:rPr>
          <w:sz w:val="28"/>
          <w:szCs w:val="28"/>
        </w:rPr>
        <w:t xml:space="preserve"> </w:t>
      </w:r>
      <w:r w:rsidRPr="00B05329">
        <w:rPr>
          <w:sz w:val="28"/>
          <w:szCs w:val="28"/>
        </w:rPr>
        <w:t>розділ VII Директиви 2001/83/ЕС «Про</w:t>
      </w:r>
      <w:r w:rsidR="00B05329">
        <w:rPr>
          <w:sz w:val="28"/>
          <w:szCs w:val="28"/>
        </w:rPr>
        <w:t xml:space="preserve"> </w:t>
      </w:r>
      <w:r w:rsidRPr="00B05329">
        <w:rPr>
          <w:sz w:val="28"/>
          <w:szCs w:val="28"/>
        </w:rPr>
        <w:t>Кодекс Співтовариства щодо лікарських засобів, призначених для споживання людиною».</w:t>
      </w:r>
    </w:p>
    <w:p w14:paraId="7329927C" w14:textId="77777777" w:rsidR="00F84C85" w:rsidRPr="00B05329" w:rsidRDefault="00B05329" w:rsidP="00B05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принципі, в </w:t>
      </w:r>
      <w:r w:rsidRPr="00B05329">
        <w:rPr>
          <w:rFonts w:ascii="Times New Roman" w:hAnsi="Times New Roman" w:cs="Times New Roman"/>
          <w:sz w:val="28"/>
          <w:szCs w:val="28"/>
          <w:shd w:val="clear" w:color="auto" w:fill="FFFFFF"/>
        </w:rPr>
        <w:t>цих питаннях у 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України «Про внесення змін до статті </w:t>
      </w:r>
      <w:r w:rsidRPr="00B05329">
        <w:rPr>
          <w:rFonts w:ascii="Times New Roman" w:hAnsi="Times New Roman" w:cs="Times New Roman"/>
          <w:sz w:val="28"/>
          <w:szCs w:val="28"/>
          <w:shd w:val="clear" w:color="auto" w:fill="FFFFFF"/>
        </w:rPr>
        <w:t>19 Закону України «Про лікарські засоби» щодо 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ійснення електрон</w:t>
      </w:r>
      <w:r w:rsidRPr="00B05329">
        <w:rPr>
          <w:rFonts w:ascii="Times New Roman" w:hAnsi="Times New Roman" w:cs="Times New Roman"/>
          <w:sz w:val="28"/>
          <w:szCs w:val="28"/>
          <w:shd w:val="clear" w:color="auto" w:fill="FFFFFF"/>
        </w:rPr>
        <w:t>ної роздрібної торгівлі лікарськими засобами» законодавець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поставив такі самі вимоги і до </w:t>
      </w:r>
      <w:r w:rsidRPr="00B05329">
        <w:rPr>
          <w:rFonts w:ascii="Times New Roman" w:hAnsi="Times New Roman" w:cs="Times New Roman"/>
          <w:sz w:val="28"/>
          <w:szCs w:val="28"/>
          <w:shd w:val="clear" w:color="auto" w:fill="FFFFFF"/>
        </w:rPr>
        <w:t>вітчизняного органу державного 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тролю, проте проблема виникає в </w:t>
      </w:r>
      <w:r w:rsidRPr="00B05329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суб’єктів аптечної діяльності, що налаштовані продовжувати і далі легальну діяльність. Інші вимоги 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5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суб’єктів були посилені, крім окремих вимог законодавчого акта, також Ліцензійними умовами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</w:t>
      </w:r>
      <w:r w:rsidRPr="00B053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активних фарм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ацевтичних інгредієнтів) (далі –</w:t>
      </w:r>
      <w:r w:rsidRPr="00B05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Ліцензійні умови) щодо електронної торгівлі та окремими поясненнями посадових осіб органів державного контролю.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CE5930A" w14:textId="77777777" w:rsidR="00B05329" w:rsidRPr="00B05329" w:rsidRDefault="00B05329" w:rsidP="00B053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329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B05329">
        <w:rPr>
          <w:sz w:val="28"/>
          <w:szCs w:val="28"/>
        </w:rPr>
        <w:t xml:space="preserve"> 27 Ліцензійних умов також встановлює обов’язкову участь:</w:t>
      </w:r>
      <w:r>
        <w:rPr>
          <w:sz w:val="28"/>
          <w:szCs w:val="28"/>
        </w:rPr>
        <w:t xml:space="preserve"> </w:t>
      </w:r>
      <w:r w:rsidRPr="00B05329">
        <w:rPr>
          <w:sz w:val="28"/>
          <w:szCs w:val="28"/>
        </w:rPr>
        <w:t>1) л</w:t>
      </w:r>
      <w:r>
        <w:rPr>
          <w:sz w:val="28"/>
          <w:szCs w:val="28"/>
        </w:rPr>
        <w:t xml:space="preserve">іцензіата, який має ліцензію на </w:t>
      </w:r>
      <w:r w:rsidRPr="00B05329">
        <w:rPr>
          <w:sz w:val="28"/>
          <w:szCs w:val="28"/>
        </w:rPr>
        <w:t>провадження господарської діяльності з роздрібної торгівлі лікарськими засобами і який може здійснювати електрон</w:t>
      </w:r>
      <w:r w:rsidRPr="00B05329">
        <w:rPr>
          <w:sz w:val="28"/>
          <w:szCs w:val="28"/>
        </w:rPr>
        <w:softHyphen/>
        <w:t>ну роздрібну торгівлю лікарськими засобами з дотриманням вимог Ліцензійних умов та</w:t>
      </w:r>
      <w:r>
        <w:rPr>
          <w:sz w:val="28"/>
          <w:szCs w:val="28"/>
        </w:rPr>
        <w:t xml:space="preserve"> </w:t>
      </w:r>
      <w:hyperlink r:id="rId6" w:tgtFrame="_blank" w:history="1">
        <w:r w:rsidRPr="00B05329">
          <w:rPr>
            <w:rStyle w:val="a6"/>
            <w:color w:val="auto"/>
            <w:sz w:val="28"/>
            <w:szCs w:val="28"/>
            <w:u w:val="none"/>
          </w:rPr>
          <w:t>Закону України «Про</w:t>
        </w:r>
        <w:r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B05329">
          <w:rPr>
            <w:rStyle w:val="a6"/>
            <w:color w:val="auto"/>
            <w:sz w:val="28"/>
            <w:szCs w:val="28"/>
            <w:u w:val="none"/>
          </w:rPr>
          <w:t>електронну комерцію»</w:t>
        </w:r>
      </w:hyperlink>
      <w:r w:rsidRPr="00B0532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05329">
        <w:rPr>
          <w:sz w:val="28"/>
          <w:szCs w:val="28"/>
        </w:rPr>
        <w:t>2) іншої о</w:t>
      </w:r>
      <w:r>
        <w:rPr>
          <w:sz w:val="28"/>
          <w:szCs w:val="28"/>
        </w:rPr>
        <w:t xml:space="preserve">соби, яка може бути залучена на </w:t>
      </w:r>
      <w:r w:rsidRPr="00B05329">
        <w:rPr>
          <w:sz w:val="28"/>
          <w:szCs w:val="28"/>
        </w:rPr>
        <w:t xml:space="preserve">договірних засадах для </w:t>
      </w:r>
      <w:r w:rsidR="005C69BB">
        <w:rPr>
          <w:sz w:val="28"/>
          <w:szCs w:val="28"/>
        </w:rPr>
        <w:t>доставки лікарських засобів (за</w:t>
      </w:r>
      <w:r w:rsidR="005C69BB" w:rsidRPr="005C69BB">
        <w:rPr>
          <w:sz w:val="28"/>
          <w:szCs w:val="28"/>
        </w:rPr>
        <w:t xml:space="preserve"> </w:t>
      </w:r>
      <w:r w:rsidRPr="00B05329">
        <w:rPr>
          <w:sz w:val="28"/>
          <w:szCs w:val="28"/>
        </w:rPr>
        <w:t>відсутності власної служби доставки).</w:t>
      </w:r>
    </w:p>
    <w:p w14:paraId="2E46A101" w14:textId="77777777" w:rsidR="00B05329" w:rsidRPr="00B05329" w:rsidRDefault="00B05329" w:rsidP="00B053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 тут є уточнення, що не </w:t>
      </w:r>
      <w:r w:rsidRPr="00B05329">
        <w:rPr>
          <w:sz w:val="28"/>
          <w:szCs w:val="28"/>
        </w:rPr>
        <w:t>збігаєт</w:t>
      </w:r>
      <w:r>
        <w:rPr>
          <w:sz w:val="28"/>
          <w:szCs w:val="28"/>
        </w:rPr>
        <w:t xml:space="preserve">ься з вимогами ст. 19 Закону України «Про лікарські засоби», а </w:t>
      </w:r>
      <w:r w:rsidRPr="00B05329">
        <w:rPr>
          <w:sz w:val="28"/>
          <w:szCs w:val="28"/>
        </w:rPr>
        <w:t>саме: оператор поштового зв’язку.</w:t>
      </w:r>
    </w:p>
    <w:p w14:paraId="669B69F2" w14:textId="77777777" w:rsidR="00B05329" w:rsidRPr="00B05329" w:rsidRDefault="00B05329" w:rsidP="00B053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329">
        <w:rPr>
          <w:sz w:val="28"/>
          <w:szCs w:val="28"/>
        </w:rPr>
        <w:t>Як відомо, відносини у сфері надання послуг поштового зв’язку регулюються</w:t>
      </w:r>
      <w:r>
        <w:rPr>
          <w:sz w:val="28"/>
          <w:szCs w:val="28"/>
        </w:rPr>
        <w:t xml:space="preserve"> </w:t>
      </w:r>
      <w:hyperlink r:id="rId7" w:tgtFrame="_blank" w:history="1">
        <w:r>
          <w:rPr>
            <w:rStyle w:val="a6"/>
            <w:bCs/>
            <w:color w:val="auto"/>
            <w:sz w:val="28"/>
            <w:szCs w:val="28"/>
            <w:u w:val="none"/>
          </w:rPr>
          <w:t xml:space="preserve">Законом </w:t>
        </w:r>
        <w:r w:rsidRPr="00B05329">
          <w:rPr>
            <w:rStyle w:val="a6"/>
            <w:bCs/>
            <w:color w:val="auto"/>
            <w:sz w:val="28"/>
            <w:szCs w:val="28"/>
            <w:u w:val="none"/>
          </w:rPr>
          <w:t>Украї</w:t>
        </w:r>
        <w:r>
          <w:rPr>
            <w:rStyle w:val="a6"/>
            <w:bCs/>
            <w:color w:val="auto"/>
            <w:sz w:val="28"/>
            <w:szCs w:val="28"/>
            <w:u w:val="none"/>
          </w:rPr>
          <w:t xml:space="preserve">ни «Про </w:t>
        </w:r>
        <w:r w:rsidRPr="00B05329">
          <w:rPr>
            <w:rStyle w:val="a6"/>
            <w:bCs/>
            <w:color w:val="auto"/>
            <w:sz w:val="28"/>
            <w:szCs w:val="28"/>
            <w:u w:val="none"/>
          </w:rPr>
          <w:t>поштовий зв’язок»</w:t>
        </w:r>
      </w:hyperlink>
      <w:r>
        <w:rPr>
          <w:rStyle w:val="bold"/>
          <w:bCs/>
          <w:sz w:val="28"/>
          <w:szCs w:val="28"/>
        </w:rPr>
        <w:t xml:space="preserve"> </w:t>
      </w:r>
      <w:r w:rsidRPr="00B0532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hyperlink r:id="rId8" w:tgtFrame="_blank" w:history="1">
        <w:r w:rsidRPr="00B05329">
          <w:rPr>
            <w:rStyle w:val="a6"/>
            <w:bCs/>
            <w:color w:val="auto"/>
            <w:sz w:val="28"/>
            <w:szCs w:val="28"/>
            <w:u w:val="none"/>
          </w:rPr>
          <w:t>Правилами надання послуг поштового зв’язку</w:t>
        </w:r>
      </w:hyperlink>
      <w:r w:rsidRPr="00B05329">
        <w:rPr>
          <w:sz w:val="28"/>
          <w:szCs w:val="28"/>
        </w:rPr>
        <w:t>, які затверджені постановою Кабінету Міністрів України від</w:t>
      </w:r>
      <w:r>
        <w:rPr>
          <w:sz w:val="28"/>
          <w:szCs w:val="28"/>
        </w:rPr>
        <w:t xml:space="preserve"> 05.03.2009 </w:t>
      </w:r>
      <w:r w:rsidR="00102261">
        <w:rPr>
          <w:sz w:val="28"/>
          <w:szCs w:val="28"/>
        </w:rPr>
        <w:t>р. №</w:t>
      </w:r>
      <w:r w:rsidR="00102261" w:rsidRPr="00791D90">
        <w:rPr>
          <w:sz w:val="28"/>
          <w:szCs w:val="28"/>
        </w:rPr>
        <w:t xml:space="preserve"> </w:t>
      </w:r>
      <w:r w:rsidRPr="00B05329">
        <w:rPr>
          <w:sz w:val="28"/>
          <w:szCs w:val="28"/>
        </w:rPr>
        <w:t>270.</w:t>
      </w:r>
    </w:p>
    <w:p w14:paraId="733C46CC" w14:textId="77777777" w:rsidR="00B05329" w:rsidRPr="00B05329" w:rsidRDefault="00B05329" w:rsidP="00B053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329">
        <w:rPr>
          <w:sz w:val="28"/>
          <w:szCs w:val="28"/>
        </w:rPr>
        <w:t>Надання універсальних послуг поштового зв’язку забезпечує національний оператор, функції якого згідно з</w:t>
      </w:r>
      <w:r>
        <w:rPr>
          <w:sz w:val="28"/>
          <w:szCs w:val="28"/>
        </w:rPr>
        <w:t xml:space="preserve"> </w:t>
      </w:r>
      <w:hyperlink r:id="rId9" w:tgtFrame="_blank" w:history="1">
        <w:r w:rsidRPr="00B05329">
          <w:rPr>
            <w:rStyle w:val="a6"/>
            <w:bCs/>
            <w:color w:val="auto"/>
            <w:sz w:val="28"/>
            <w:szCs w:val="28"/>
            <w:u w:val="none"/>
          </w:rPr>
          <w:t>розпорядженням</w:t>
        </w:r>
        <w:r>
          <w:rPr>
            <w:rStyle w:val="a6"/>
            <w:bCs/>
            <w:color w:val="auto"/>
            <w:sz w:val="28"/>
            <w:szCs w:val="28"/>
            <w:u w:val="none"/>
          </w:rPr>
          <w:t xml:space="preserve"> Кабінету Міністрів України від 10.01.2002 р. № </w:t>
        </w:r>
        <w:r w:rsidRPr="00B05329">
          <w:rPr>
            <w:rStyle w:val="a6"/>
            <w:bCs/>
            <w:color w:val="auto"/>
            <w:sz w:val="28"/>
            <w:szCs w:val="28"/>
            <w:u w:val="none"/>
          </w:rPr>
          <w:t>10-р</w:t>
        </w:r>
      </w:hyperlink>
      <w:r>
        <w:rPr>
          <w:rStyle w:val="bold"/>
          <w:b/>
          <w:bCs/>
          <w:sz w:val="28"/>
          <w:szCs w:val="28"/>
        </w:rPr>
        <w:t xml:space="preserve"> </w:t>
      </w:r>
      <w:r w:rsidRPr="00B05329">
        <w:rPr>
          <w:sz w:val="28"/>
          <w:szCs w:val="28"/>
        </w:rPr>
        <w:t>поклад</w:t>
      </w:r>
      <w:r>
        <w:rPr>
          <w:sz w:val="28"/>
          <w:szCs w:val="28"/>
        </w:rPr>
        <w:t xml:space="preserve">ено на </w:t>
      </w:r>
      <w:r w:rsidRPr="00B05329">
        <w:rPr>
          <w:sz w:val="28"/>
          <w:szCs w:val="28"/>
        </w:rPr>
        <w:t>Українське державне підприємство поштового зв’язку «Укрпошта», яке належить до</w:t>
      </w:r>
      <w:r>
        <w:rPr>
          <w:sz w:val="28"/>
          <w:szCs w:val="28"/>
        </w:rPr>
        <w:t xml:space="preserve"> </w:t>
      </w:r>
      <w:r w:rsidRPr="00B05329">
        <w:rPr>
          <w:sz w:val="28"/>
          <w:szCs w:val="28"/>
        </w:rPr>
        <w:t>сфери управління Міністерства інфраструктури України.</w:t>
      </w:r>
    </w:p>
    <w:p w14:paraId="6A74F0CD" w14:textId="77777777" w:rsidR="00B05329" w:rsidRPr="00B05329" w:rsidRDefault="00B05329" w:rsidP="00B053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B05329">
        <w:rPr>
          <w:sz w:val="28"/>
          <w:szCs w:val="28"/>
        </w:rPr>
        <w:t>Закону України «Про поштовий зв’язок», оператор поштового зв’язку (оператор)</w:t>
      </w:r>
      <w:r>
        <w:rPr>
          <w:sz w:val="28"/>
          <w:szCs w:val="28"/>
        </w:rPr>
        <w:t xml:space="preserve"> –</w:t>
      </w:r>
      <w:r w:rsidRPr="00B05329">
        <w:rPr>
          <w:sz w:val="28"/>
          <w:szCs w:val="28"/>
        </w:rPr>
        <w:t xml:space="preserve"> суб’єкт підприємницької</w:t>
      </w:r>
      <w:r>
        <w:rPr>
          <w:sz w:val="28"/>
          <w:szCs w:val="28"/>
        </w:rPr>
        <w:t xml:space="preserve"> діяльності, який в </w:t>
      </w:r>
      <w:r w:rsidRPr="00B05329">
        <w:rPr>
          <w:sz w:val="28"/>
          <w:szCs w:val="28"/>
        </w:rPr>
        <w:t>установленому законодавством порядку надає послуги поштового зв’язку, а</w:t>
      </w:r>
      <w:r>
        <w:rPr>
          <w:sz w:val="28"/>
          <w:szCs w:val="28"/>
        </w:rPr>
        <w:t xml:space="preserve"> </w:t>
      </w:r>
      <w:r w:rsidR="005C69BB">
        <w:rPr>
          <w:sz w:val="28"/>
          <w:szCs w:val="28"/>
        </w:rPr>
        <w:t>обмеження, які встановлені в</w:t>
      </w:r>
      <w:r w:rsidR="005C69BB" w:rsidRPr="005C69BB">
        <w:rPr>
          <w:sz w:val="28"/>
          <w:szCs w:val="28"/>
          <w:lang w:val="ru-RU"/>
        </w:rPr>
        <w:t xml:space="preserve"> </w:t>
      </w:r>
      <w:r w:rsidRPr="00B05329">
        <w:rPr>
          <w:sz w:val="28"/>
          <w:szCs w:val="28"/>
        </w:rPr>
        <w:t>самому законі та Правилах, зводять нанівець можливість будь-якого відправлення.</w:t>
      </w:r>
    </w:p>
    <w:p w14:paraId="2346C982" w14:textId="77777777" w:rsidR="00B05329" w:rsidRPr="00B05329" w:rsidRDefault="00B05329" w:rsidP="00B053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А якщо доставки потребує людина з </w:t>
      </w:r>
      <w:r w:rsidRPr="00B05329">
        <w:rPr>
          <w:bCs/>
          <w:iCs/>
          <w:sz w:val="28"/>
          <w:szCs w:val="28"/>
        </w:rPr>
        <w:t>обмеженими можливостя</w:t>
      </w:r>
      <w:r>
        <w:rPr>
          <w:bCs/>
          <w:iCs/>
          <w:sz w:val="28"/>
          <w:szCs w:val="28"/>
        </w:rPr>
        <w:t xml:space="preserve">ми і яка мешкає в </w:t>
      </w:r>
      <w:r w:rsidRPr="00B05329">
        <w:rPr>
          <w:bCs/>
          <w:iCs/>
          <w:sz w:val="28"/>
          <w:szCs w:val="28"/>
        </w:rPr>
        <w:t>тому ж місті, де і аптека?</w:t>
      </w:r>
      <w:r>
        <w:rPr>
          <w:bCs/>
          <w:iCs/>
          <w:sz w:val="28"/>
          <w:szCs w:val="28"/>
        </w:rPr>
        <w:t xml:space="preserve"> Це питання особливо актуально в умовах воєнного стану.</w:t>
      </w:r>
    </w:p>
    <w:p w14:paraId="6DAD3C51" w14:textId="77777777" w:rsidR="00B05329" w:rsidRPr="00B05329" w:rsidRDefault="00B05329" w:rsidP="00B053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329">
        <w:rPr>
          <w:sz w:val="28"/>
          <w:szCs w:val="28"/>
        </w:rPr>
        <w:lastRenderedPageBreak/>
        <w:t>Тоді у</w:t>
      </w:r>
      <w:r>
        <w:rPr>
          <w:sz w:val="28"/>
          <w:szCs w:val="28"/>
        </w:rPr>
        <w:t xml:space="preserve"> </w:t>
      </w:r>
      <w:r w:rsidRPr="00B05329">
        <w:rPr>
          <w:sz w:val="28"/>
          <w:szCs w:val="28"/>
        </w:rPr>
        <w:t>такої особи і залишається один шлях</w:t>
      </w:r>
      <w:r>
        <w:rPr>
          <w:sz w:val="28"/>
          <w:szCs w:val="28"/>
        </w:rPr>
        <w:t xml:space="preserve"> – звертатися до нелегальної І</w:t>
      </w:r>
      <w:r w:rsidRPr="00B05329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– </w:t>
      </w:r>
      <w:r w:rsidRPr="00B05329">
        <w:rPr>
          <w:sz w:val="28"/>
          <w:szCs w:val="28"/>
        </w:rPr>
        <w:t>аптеки, пит</w:t>
      </w:r>
      <w:r>
        <w:rPr>
          <w:sz w:val="28"/>
          <w:szCs w:val="28"/>
        </w:rPr>
        <w:t xml:space="preserve">аннями діяльності якої ніхто не </w:t>
      </w:r>
      <w:r w:rsidRPr="00B05329">
        <w:rPr>
          <w:sz w:val="28"/>
          <w:szCs w:val="28"/>
        </w:rPr>
        <w:t>опікується.</w:t>
      </w:r>
    </w:p>
    <w:p w14:paraId="29EFE331" w14:textId="77777777" w:rsidR="00B05329" w:rsidRPr="00B05329" w:rsidRDefault="00B05329" w:rsidP="00B053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Хоча всі розуміють, що в Україні у </w:t>
      </w:r>
      <w:r w:rsidRPr="00B05329">
        <w:rPr>
          <w:sz w:val="28"/>
          <w:szCs w:val="28"/>
        </w:rPr>
        <w:t>всіх великих містах існують спеціалізовані служби доставки, які мають і обладнання, і транспорт, і можливості швидкої доставки.</w:t>
      </w:r>
      <w:r>
        <w:rPr>
          <w:sz w:val="28"/>
          <w:szCs w:val="28"/>
        </w:rPr>
        <w:t xml:space="preserve"> </w:t>
      </w:r>
    </w:p>
    <w:p w14:paraId="72EB9AB3" w14:textId="7911C129" w:rsidR="007F1173" w:rsidRDefault="00B05329" w:rsidP="00A0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Тобто, складається враження, що державна політика в особливий пра</w:t>
      </w:r>
      <w:r w:rsidR="00AA69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овий період, як і в інший період,</w:t>
      </w:r>
      <w:r w:rsidR="00AA691E">
        <w:rPr>
          <w:rFonts w:ascii="Times New Roman" w:hAnsi="Times New Roman" w:cs="Times New Roman"/>
          <w:sz w:val="28"/>
          <w:szCs w:val="28"/>
        </w:rPr>
        <w:t xml:space="preserve"> щодо доступності громадян до лікарських засобів, не зовсім відповідає реаліям часу та потребує удосконалення.</w:t>
      </w:r>
    </w:p>
    <w:p w14:paraId="392C35A9" w14:textId="77777777" w:rsidR="00791D90" w:rsidRDefault="00791D90" w:rsidP="00A0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AC54E" w14:textId="7013604B" w:rsidR="00AA691E" w:rsidRPr="00F54F21" w:rsidRDefault="007F79ED" w:rsidP="00791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21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14:paraId="739019F9" w14:textId="55F99A17" w:rsidR="007F79ED" w:rsidRPr="00F54F21" w:rsidRDefault="007F79ED" w:rsidP="004B280B">
      <w:pPr>
        <w:pStyle w:val="a7"/>
        <w:numPr>
          <w:ilvl w:val="0"/>
          <w:numId w:val="2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Katsuki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T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.,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Mackey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T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K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.,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Cuomo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R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6F28B0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Establishing a Link Between Prescription Drug Abuse and Illicit Online Pharmacies: Analysis of Twitter Data. </w:t>
      </w:r>
      <w:r w:rsidR="00781A3D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Journal of </w:t>
      </w:r>
      <w:r w:rsidR="00781A3D" w:rsidRPr="00F54F21">
        <w:rPr>
          <w:rStyle w:val="a3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t>Medical Internet Research</w:t>
      </w:r>
      <w:r w:rsidR="00781A3D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="00781A3D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2015</w:t>
      </w:r>
      <w:r w:rsidR="00781A3D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="00781A3D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No. 17(12):e280. </w:t>
      </w:r>
      <w:hyperlink r:id="rId10" w:history="1">
        <w:r w:rsidR="00C95151"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https://doi.org/10.2196/jmir.5144</w:t>
        </w:r>
      </w:hyperlink>
      <w:r w:rsidR="00C95151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</w:p>
    <w:p w14:paraId="7A416116" w14:textId="39521F40" w:rsidR="007F79ED" w:rsidRPr="00F54F21" w:rsidRDefault="007F79ED" w:rsidP="004B280B">
      <w:pPr>
        <w:pStyle w:val="a7"/>
        <w:numPr>
          <w:ilvl w:val="0"/>
          <w:numId w:val="2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AlltheResearch. </w:t>
      </w:r>
      <w:r w:rsidR="00840CD2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Online Pharmacy market is expected to reach USD 202.3 billion by 2027. 2021, September 8. URL</w:t>
      </w:r>
      <w:r w:rsidR="00840CD2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: </w:t>
      </w:r>
      <w:hyperlink r:id="rId11" w:history="1">
        <w:r w:rsidR="00840CD2"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https://www.globenewswire.com/news-release/2021/09/08/2293621/0/en/Online-Pharmacy-market-is-expected-to-reach-USD-202-3-billion-by-2027-AllTheResearch.html</w:t>
        </w:r>
      </w:hyperlink>
      <w:r w:rsidR="00840CD2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</w:p>
    <w:p w14:paraId="59F0D892" w14:textId="6C6D86AB" w:rsidR="005A1041" w:rsidRPr="00F54F21" w:rsidRDefault="005A1041" w:rsidP="004B280B">
      <w:pPr>
        <w:pStyle w:val="a7"/>
        <w:numPr>
          <w:ilvl w:val="0"/>
          <w:numId w:val="2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Mackey, T.K., Liang, B.A. Pharmaceutical digital marketing and governance: illicit actors and challenges to global patient safety and public health. </w:t>
      </w:r>
      <w:r w:rsidRPr="00F54F21">
        <w:rPr>
          <w:rStyle w:val="a3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t>Global Health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2013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No. 9</w:t>
      </w:r>
      <w:r w:rsidR="004B280B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: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45.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hyperlink r:id="rId12" w:history="1">
        <w:r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https://doi.org/10.1186/1744-8603-9-45</w:t>
        </w:r>
      </w:hyperlink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14:paraId="7A90A80C" w14:textId="2C7D6312" w:rsidR="007F79ED" w:rsidRPr="00F54F21" w:rsidRDefault="00E118E7" w:rsidP="004B280B">
      <w:pPr>
        <w:pStyle w:val="a7"/>
        <w:numPr>
          <w:ilvl w:val="0"/>
          <w:numId w:val="2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Fittler A., Adeniye L., Katz Z., Bella R. Effect of Infodemic Regarding the Illegal Sale of Medications on the Internet: Evaluation of Demand and Online Availability of Ivermectin during the COVID-19 Pandemic. </w:t>
      </w:r>
      <w:r w:rsidR="004B280B" w:rsidRPr="00F54F21">
        <w:rPr>
          <w:rStyle w:val="a3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t>Public Health</w:t>
      </w:r>
      <w:r w:rsidR="004B280B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. 2021, No. 18(14), art. 7475</w:t>
      </w:r>
      <w:r w:rsidR="004B280B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4B280B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</w:t>
      </w:r>
      <w:hyperlink r:id="rId13" w:history="1">
        <w:r w:rsidR="004B280B"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https://doi.org/10.3390/ijerph18147475</w:t>
        </w:r>
      </w:hyperlink>
      <w:r w:rsidR="004B280B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. </w:t>
      </w:r>
    </w:p>
    <w:p w14:paraId="1A8BD730" w14:textId="0056B49B" w:rsidR="00E118E7" w:rsidRPr="00F54F21" w:rsidRDefault="004B280B" w:rsidP="004B280B">
      <w:pPr>
        <w:pStyle w:val="a7"/>
        <w:numPr>
          <w:ilvl w:val="0"/>
          <w:numId w:val="2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Mackey, T.K., Liang, B.A. Pharmaceutical digital marketing and governance: illicit actors and challenges to global patient safety and public health. </w:t>
      </w:r>
      <w:r w:rsidRPr="00F54F21">
        <w:rPr>
          <w:rStyle w:val="a3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t>Global Health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2013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No. 9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: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45.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hyperlink r:id="rId14" w:history="1">
        <w:r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https://doi.org/10.1186/1744-8603-9-45</w:t>
        </w:r>
      </w:hyperlink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14:paraId="01CB059D" w14:textId="160B94E4" w:rsidR="00F21791" w:rsidRPr="00F54F21" w:rsidRDefault="004B280B" w:rsidP="004B280B">
      <w:pPr>
        <w:pStyle w:val="a7"/>
        <w:numPr>
          <w:ilvl w:val="0"/>
          <w:numId w:val="2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lastRenderedPageBreak/>
        <w:t xml:space="preserve">Mackey, T.K., Liang, B.A. Pharmaceutical digital marketing and governance: illicit actors and challenges to global patient safety and public health. </w:t>
      </w:r>
      <w:r w:rsidRPr="00F54F21">
        <w:rPr>
          <w:rStyle w:val="a3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t>Global Health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2013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No. 9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: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45.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hyperlink r:id="rId15" w:history="1">
        <w:r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https://doi.org/10.1186/1744-8603-9-45</w:t>
        </w:r>
      </w:hyperlink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14:paraId="64A2FBD9" w14:textId="1C4ACDBF" w:rsidR="005C69BB" w:rsidRPr="00F54F21" w:rsidRDefault="004B280B" w:rsidP="004B280B">
      <w:pPr>
        <w:pStyle w:val="a7"/>
        <w:numPr>
          <w:ilvl w:val="0"/>
          <w:numId w:val="2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Fittler A., Adeniye L., Katz Z., Bella R.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Effect of Infodemic Regarding the Illegal Sale of Medications on the Internet: Evaluation of Demand and Online Availability of Ivermectin during the COVID-19 Pandemic. </w:t>
      </w:r>
      <w:r w:rsidRPr="00F54F21">
        <w:rPr>
          <w:rStyle w:val="a3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t>Public Health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. 2021, No. 18(14), art. 7475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</w:t>
      </w:r>
      <w:hyperlink r:id="rId16" w:history="1">
        <w:r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https://doi.org/10.3390/ijerph18147475</w:t>
        </w:r>
      </w:hyperlink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.</w:t>
      </w:r>
    </w:p>
    <w:p w14:paraId="2F6A653F" w14:textId="77777777" w:rsidR="00791D90" w:rsidRPr="008B3083" w:rsidRDefault="00791D90" w:rsidP="00A02EE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</w:pPr>
    </w:p>
    <w:p w14:paraId="5BA4AD4B" w14:textId="6559E6E2" w:rsidR="00B66CAE" w:rsidRPr="00F54F21" w:rsidRDefault="00B66CAE" w:rsidP="006F28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F21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105A2179" w14:textId="3F285F71" w:rsidR="004B280B" w:rsidRPr="00F54F21" w:rsidRDefault="004B280B" w:rsidP="004B280B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Katsuki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T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.,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Mackey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T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K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.,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Cuomo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R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(2015).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Establishing a Link Between Prescription Drug Abuse and Illicit Online Pharmacies: Analysis of Twitter Data. </w:t>
      </w:r>
      <w:r w:rsidRPr="00F54F21">
        <w:rPr>
          <w:rStyle w:val="a3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t>Journal of Medical Internet Research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, 17(12):e280. </w:t>
      </w:r>
      <w:hyperlink r:id="rId17" w:history="1">
        <w:r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https://doi.org/10.2196/jmir.5144</w:t>
        </w:r>
      </w:hyperlink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[in English].</w:t>
      </w:r>
    </w:p>
    <w:p w14:paraId="6CC2C77E" w14:textId="0619C441" w:rsidR="004B280B" w:rsidRPr="00F54F21" w:rsidRDefault="004B280B" w:rsidP="004B280B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AlltheResearch (2021, September 8). Online Pharmacy market is expected to reach USD 202.3 billion by 2027. </w:t>
      </w:r>
      <w:r w:rsidR="00F377BD"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Retrieved from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hyperlink r:id="rId18" w:history="1">
        <w:r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https://www.globenewswire.com/news-release/2021/09/08/2293621/0/en/Online-Pharmacy-market-is-expected-to-reach-USD-202-3-billion-by-2027-AllTheResearch.html</w:t>
        </w:r>
      </w:hyperlink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[in English].</w:t>
      </w:r>
    </w:p>
    <w:p w14:paraId="076C10E2" w14:textId="4B841C2A" w:rsidR="004B280B" w:rsidRPr="00F54F21" w:rsidRDefault="004B280B" w:rsidP="004B280B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Mackey, T.K., Liang, B.A. (2013). Pharmaceutical digital marketing and governance: illicit actors and challenges to global patient safety and public health. </w:t>
      </w:r>
      <w:r w:rsidRPr="00F54F21">
        <w:rPr>
          <w:rStyle w:val="a3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t>Global Health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, 9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: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45.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hyperlink r:id="rId19" w:history="1">
        <w:r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https://doi.org/10.1186/1744-8603-9-45</w:t>
        </w:r>
      </w:hyperlink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[in English].</w:t>
      </w:r>
    </w:p>
    <w:p w14:paraId="5ED4A0AE" w14:textId="77777777" w:rsidR="004B280B" w:rsidRPr="00F54F21" w:rsidRDefault="004B280B" w:rsidP="004B280B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Fittler, A., Adeniye, L., Katz, Z., Bella, R. (2021) Effect of Infodemic Regarding the Illegal Sale of Medications on the Internet: Evaluation of Demand and Online Availability of Ivermectin during the COVID-19 Pandemic. </w:t>
      </w:r>
      <w:r w:rsidRPr="00F54F21">
        <w:rPr>
          <w:rStyle w:val="a3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t>Public Health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, 18(14), 7475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</w:t>
      </w:r>
      <w:hyperlink r:id="rId20" w:history="1">
        <w:r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https://doi.org/10.3390/ijerph18147475</w:t>
        </w:r>
      </w:hyperlink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[in English].</w:t>
      </w:r>
    </w:p>
    <w:p w14:paraId="5A43F345" w14:textId="77777777" w:rsidR="00443119" w:rsidRPr="00F54F21" w:rsidRDefault="00443119" w:rsidP="00443119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Mackey, T.K., Liang, B.A. (2013). Pharmaceutical digital marketing and governance: illicit actors and challenges to global patient safety and public health. </w:t>
      </w:r>
      <w:r w:rsidRPr="00F54F21">
        <w:rPr>
          <w:rStyle w:val="a3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t>Global Health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, 9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: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45.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hyperlink r:id="rId21" w:history="1">
        <w:r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https://doi.org/10.1186/1744-8603-9-45</w:t>
        </w:r>
      </w:hyperlink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[in English].</w:t>
      </w:r>
    </w:p>
    <w:p w14:paraId="7BD88191" w14:textId="77777777" w:rsidR="00443119" w:rsidRPr="00F54F21" w:rsidRDefault="00443119" w:rsidP="00443119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lastRenderedPageBreak/>
        <w:t xml:space="preserve">Mackey, T.K., Liang, B.A. (2013). Pharmaceutical digital marketing and governance: illicit actors and challenges to global patient safety and public health. </w:t>
      </w:r>
      <w:r w:rsidRPr="00F54F21">
        <w:rPr>
          <w:rStyle w:val="a3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t>Global Health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, 9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: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45.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hyperlink r:id="rId22" w:history="1">
        <w:r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https://doi.org/10.1186/1744-8603-9-45</w:t>
        </w:r>
      </w:hyperlink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[in English].</w:t>
      </w:r>
    </w:p>
    <w:p w14:paraId="0C622181" w14:textId="3172E489" w:rsidR="004B280B" w:rsidRPr="00F54F21" w:rsidRDefault="004B280B" w:rsidP="004B280B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</w:pP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Fittler, A., Adeniye, L., Katz, Z., Bella, R. (2021) Effect of Infodemic Regarding the Illegal Sale of Medications on the Internet: Evaluation of Demand and Online Availability of Ivermectin during the COVID-19 Pandemic. </w:t>
      </w:r>
      <w:r w:rsidRPr="00F54F21">
        <w:rPr>
          <w:rStyle w:val="a3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t>Public Health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, 18(14), 7475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</w:t>
      </w:r>
      <w:hyperlink r:id="rId23" w:history="1">
        <w:r w:rsidRPr="00F54F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https://doi.org/10.3390/ijerph18147475</w:t>
        </w:r>
      </w:hyperlink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F54F2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[in English].</w:t>
      </w:r>
    </w:p>
    <w:p w14:paraId="29CC2BAD" w14:textId="77777777" w:rsidR="00B66CAE" w:rsidRPr="00B66CAE" w:rsidRDefault="00B66CAE" w:rsidP="00A0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66CAE" w:rsidRPr="00B66CAE" w:rsidSect="00760E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13FD"/>
    <w:multiLevelType w:val="hybridMultilevel"/>
    <w:tmpl w:val="0EB8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C5495"/>
    <w:multiLevelType w:val="hybridMultilevel"/>
    <w:tmpl w:val="10EC6E1C"/>
    <w:lvl w:ilvl="0" w:tplc="F824369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28A6"/>
    <w:multiLevelType w:val="hybridMultilevel"/>
    <w:tmpl w:val="10EC6E1C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51024">
    <w:abstractNumId w:val="0"/>
  </w:num>
  <w:num w:numId="2" w16cid:durableId="1352099382">
    <w:abstractNumId w:val="1"/>
  </w:num>
  <w:num w:numId="3" w16cid:durableId="876968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A4A"/>
    <w:rsid w:val="00046AA2"/>
    <w:rsid w:val="00102261"/>
    <w:rsid w:val="002B7F62"/>
    <w:rsid w:val="003F3A4A"/>
    <w:rsid w:val="00443119"/>
    <w:rsid w:val="004B280B"/>
    <w:rsid w:val="004B7EF2"/>
    <w:rsid w:val="005A1041"/>
    <w:rsid w:val="005B49D3"/>
    <w:rsid w:val="005C69BB"/>
    <w:rsid w:val="006F28B0"/>
    <w:rsid w:val="00760EF0"/>
    <w:rsid w:val="00781A3D"/>
    <w:rsid w:val="00791D90"/>
    <w:rsid w:val="007C1CA8"/>
    <w:rsid w:val="007F1173"/>
    <w:rsid w:val="007F79ED"/>
    <w:rsid w:val="00840CD2"/>
    <w:rsid w:val="00846F3B"/>
    <w:rsid w:val="008B3083"/>
    <w:rsid w:val="00910A2C"/>
    <w:rsid w:val="00A02EE3"/>
    <w:rsid w:val="00AA691E"/>
    <w:rsid w:val="00B05329"/>
    <w:rsid w:val="00B66CAE"/>
    <w:rsid w:val="00C95151"/>
    <w:rsid w:val="00E118E7"/>
    <w:rsid w:val="00E521AB"/>
    <w:rsid w:val="00ED0063"/>
    <w:rsid w:val="00F21791"/>
    <w:rsid w:val="00F377BD"/>
    <w:rsid w:val="00F54F21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98ED"/>
  <w15:docId w15:val="{2DC3D704-A2AF-414A-B0D2-581A74A1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4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0EF0"/>
    <w:rPr>
      <w:i/>
      <w:iCs/>
    </w:rPr>
  </w:style>
  <w:style w:type="character" w:styleId="a4">
    <w:name w:val="Strong"/>
    <w:basedOn w:val="a0"/>
    <w:uiPriority w:val="22"/>
    <w:qFormat/>
    <w:rsid w:val="00760EF0"/>
    <w:rPr>
      <w:b/>
      <w:bCs/>
    </w:rPr>
  </w:style>
  <w:style w:type="paragraph" w:styleId="a5">
    <w:name w:val="Normal (Web)"/>
    <w:basedOn w:val="a"/>
    <w:uiPriority w:val="99"/>
    <w:semiHidden/>
    <w:unhideWhenUsed/>
    <w:rsid w:val="00F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84C8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aterial-icons-extended">
    <w:name w:val="material-icons-extended"/>
    <w:basedOn w:val="a0"/>
    <w:rsid w:val="00F84C85"/>
  </w:style>
  <w:style w:type="character" w:customStyle="1" w:styleId="ztplmc">
    <w:name w:val="ztplmc"/>
    <w:basedOn w:val="a0"/>
    <w:rsid w:val="00F84C85"/>
  </w:style>
  <w:style w:type="character" w:customStyle="1" w:styleId="q4iawc">
    <w:name w:val="q4iawc"/>
    <w:basedOn w:val="a0"/>
    <w:rsid w:val="00F84C85"/>
  </w:style>
  <w:style w:type="character" w:styleId="a6">
    <w:name w:val="Hyperlink"/>
    <w:basedOn w:val="a0"/>
    <w:uiPriority w:val="99"/>
    <w:unhideWhenUsed/>
    <w:rsid w:val="00B05329"/>
    <w:rPr>
      <w:color w:val="0000FF"/>
      <w:u w:val="single"/>
    </w:rPr>
  </w:style>
  <w:style w:type="character" w:customStyle="1" w:styleId="bold">
    <w:name w:val="bold"/>
    <w:basedOn w:val="a0"/>
    <w:rsid w:val="00B05329"/>
  </w:style>
  <w:style w:type="paragraph" w:styleId="a7">
    <w:name w:val="List Paragraph"/>
    <w:basedOn w:val="a"/>
    <w:uiPriority w:val="34"/>
    <w:qFormat/>
    <w:rsid w:val="007F79E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910A2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40C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781A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33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70-2009-%D0%BF" TargetMode="External"/><Relationship Id="rId13" Type="http://schemas.openxmlformats.org/officeDocument/2006/relationships/hyperlink" Target="https://doi.org/10.3390/ijerph18147475" TargetMode="External"/><Relationship Id="rId18" Type="http://schemas.openxmlformats.org/officeDocument/2006/relationships/hyperlink" Target="https://www.globenewswire.com/news-release/2021/09/08/2293621/0/en/Online-Pharmacy-market-is-expected-to-reach-USD-202-3-billion-by-2027-AllTheResearch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86/1744-8603-9-45" TargetMode="External"/><Relationship Id="rId7" Type="http://schemas.openxmlformats.org/officeDocument/2006/relationships/hyperlink" Target="http://zakon4.rada.gov.ua/laws/show/2759-14" TargetMode="External"/><Relationship Id="rId12" Type="http://schemas.openxmlformats.org/officeDocument/2006/relationships/hyperlink" Target="https://doi.org/10.1186/1744-8603-9-45" TargetMode="External"/><Relationship Id="rId17" Type="http://schemas.openxmlformats.org/officeDocument/2006/relationships/hyperlink" Target="https://doi.org/10.2196/jmir.514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3390/ijerph18147475" TargetMode="External"/><Relationship Id="rId20" Type="http://schemas.openxmlformats.org/officeDocument/2006/relationships/hyperlink" Target="https://doi.org/10.3390/ijerph181474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675-19" TargetMode="External"/><Relationship Id="rId11" Type="http://schemas.openxmlformats.org/officeDocument/2006/relationships/hyperlink" Target="https://www.globenewswire.com/news-release/2021/09/08/2293621/0/en/Online-Pharmacy-market-is-expected-to-reach-USD-202-3-billion-by-2027-AllTheResearch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86/1744-8603-9-45" TargetMode="External"/><Relationship Id="rId23" Type="http://schemas.openxmlformats.org/officeDocument/2006/relationships/hyperlink" Target="https://doi.org/10.3390/ijerph18147475" TargetMode="External"/><Relationship Id="rId10" Type="http://schemas.openxmlformats.org/officeDocument/2006/relationships/hyperlink" Target="https://doi.org/10.2196/jmir.5144" TargetMode="External"/><Relationship Id="rId19" Type="http://schemas.openxmlformats.org/officeDocument/2006/relationships/hyperlink" Target="https://doi.org/10.1186/1744-8603-9-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10-2002-%D1%80" TargetMode="External"/><Relationship Id="rId14" Type="http://schemas.openxmlformats.org/officeDocument/2006/relationships/hyperlink" Target="https://doi.org/10.1186/1744-8603-9-45" TargetMode="External"/><Relationship Id="rId22" Type="http://schemas.openxmlformats.org/officeDocument/2006/relationships/hyperlink" Target="https://doi.org/10.1186/1744-8603-9-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5EB2-288F-40E7-92D1-4D6062F0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2022-04-27T12:57:00Z</dcterms:created>
  <dcterms:modified xsi:type="dcterms:W3CDTF">2022-05-10T07:13:00Z</dcterms:modified>
</cp:coreProperties>
</file>